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2FE" w:rsidRDefault="00A77DBE">
      <w:pPr>
        <w:spacing w:after="106" w:line="259" w:lineRule="auto"/>
        <w:ind w:right="0" w:firstLine="0"/>
        <w:jc w:val="left"/>
      </w:pPr>
      <w:r>
        <w:rPr>
          <w:b/>
          <w:sz w:val="28"/>
        </w:rPr>
        <w:t>Legalitas: Jurnal Hukum, 12</w:t>
      </w:r>
      <w:r w:rsidR="006040C6">
        <w:rPr>
          <w:b/>
          <w:sz w:val="28"/>
        </w:rPr>
        <w:t xml:space="preserve"> </w:t>
      </w:r>
      <w:r>
        <w:rPr>
          <w:b/>
          <w:sz w:val="28"/>
        </w:rPr>
        <w:t>(2), Desember 202</w:t>
      </w:r>
      <w:r w:rsidR="006040C6">
        <w:rPr>
          <w:b/>
          <w:sz w:val="28"/>
        </w:rPr>
        <w:t>1, ...</w:t>
      </w:r>
      <w:r>
        <w:rPr>
          <w:b/>
          <w:sz w:val="28"/>
        </w:rPr>
        <w:t>-</w:t>
      </w:r>
      <w:r w:rsidR="006040C6">
        <w:rPr>
          <w:b/>
          <w:sz w:val="28"/>
        </w:rPr>
        <w:t>...</w:t>
      </w:r>
    </w:p>
    <w:p w:rsidR="00F802FE" w:rsidRDefault="00A77DBE">
      <w:pPr>
        <w:tabs>
          <w:tab w:val="right" w:pos="10537"/>
        </w:tabs>
        <w:spacing w:line="250" w:lineRule="auto"/>
        <w:ind w:right="0" w:firstLine="0"/>
        <w:jc w:val="left"/>
      </w:pPr>
      <w:r>
        <w:rPr>
          <w:b/>
          <w:color w:val="C00000"/>
          <w:sz w:val="72"/>
        </w:rPr>
        <w:t xml:space="preserve">Legalitas </w:t>
      </w:r>
      <w:r>
        <w:rPr>
          <w:b/>
          <w:color w:val="C00000"/>
          <w:sz w:val="72"/>
        </w:rPr>
        <w:tab/>
      </w:r>
      <w:r>
        <w:rPr>
          <w:sz w:val="20"/>
        </w:rPr>
        <w:t xml:space="preserve">ISSN 2085-0212 (Print), ISSN 2597-8861 (Online) </w:t>
      </w:r>
    </w:p>
    <w:p w:rsidR="00F802FE" w:rsidRDefault="00FD1CE1">
      <w:pPr>
        <w:spacing w:after="0" w:line="259" w:lineRule="auto"/>
        <w:ind w:right="0" w:firstLine="0"/>
        <w:jc w:val="left"/>
      </w:pPr>
      <w:r>
        <w:rPr>
          <w:sz w:val="20"/>
        </w:rPr>
        <w:t>......................................................</w:t>
      </w:r>
      <w:r w:rsidR="00A77DBE">
        <w:rPr>
          <w:sz w:val="20"/>
        </w:rPr>
        <w:t xml:space="preserve"> </w:t>
      </w:r>
      <w:r w:rsidR="00A77DBE">
        <w:rPr>
          <w:sz w:val="24"/>
        </w:rPr>
        <w:t xml:space="preserve"> </w:t>
      </w:r>
    </w:p>
    <w:p w:rsidR="00F802FE" w:rsidRDefault="00A77DBE">
      <w:pPr>
        <w:spacing w:line="259" w:lineRule="auto"/>
        <w:ind w:left="-120" w:right="-74" w:firstLine="0"/>
        <w:jc w:val="left"/>
      </w:pPr>
      <w:r>
        <w:rPr>
          <w:rFonts w:ascii="Calibri" w:eastAsia="Calibri" w:hAnsi="Calibri" w:cs="Calibri"/>
          <w:noProof/>
        </w:rPr>
        <mc:AlternateContent>
          <mc:Choice Requires="wpg">
            <w:drawing>
              <wp:inline distT="0" distB="0" distL="0" distR="0">
                <wp:extent cx="6814566" cy="5080"/>
                <wp:effectExtent l="0" t="0" r="0" b="0"/>
                <wp:docPr id="18932" name="Group 18932"/>
                <wp:cNvGraphicFramePr/>
                <a:graphic xmlns:a="http://schemas.openxmlformats.org/drawingml/2006/main">
                  <a:graphicData uri="http://schemas.microsoft.com/office/word/2010/wordprocessingGroup">
                    <wpg:wgp>
                      <wpg:cNvGrpSpPr/>
                      <wpg:grpSpPr>
                        <a:xfrm>
                          <a:off x="0" y="0"/>
                          <a:ext cx="6814566" cy="5080"/>
                          <a:chOff x="0" y="0"/>
                          <a:chExt cx="6814566" cy="5080"/>
                        </a:xfrm>
                      </wpg:grpSpPr>
                      <wps:wsp>
                        <wps:cNvPr id="21708" name="Shape 21708"/>
                        <wps:cNvSpPr/>
                        <wps:spPr>
                          <a:xfrm>
                            <a:off x="0" y="0"/>
                            <a:ext cx="1923415" cy="9144"/>
                          </a:xfrm>
                          <a:custGeom>
                            <a:avLst/>
                            <a:gdLst/>
                            <a:ahLst/>
                            <a:cxnLst/>
                            <a:rect l="0" t="0" r="0" b="0"/>
                            <a:pathLst>
                              <a:path w="1923415" h="9144">
                                <a:moveTo>
                                  <a:pt x="0" y="0"/>
                                </a:moveTo>
                                <a:lnTo>
                                  <a:pt x="1923415" y="0"/>
                                </a:lnTo>
                                <a:lnTo>
                                  <a:pt x="19234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9" name="Shape 21709"/>
                        <wps:cNvSpPr/>
                        <wps:spPr>
                          <a:xfrm>
                            <a:off x="19157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0" name="Shape 21710"/>
                        <wps:cNvSpPr/>
                        <wps:spPr>
                          <a:xfrm>
                            <a:off x="1920875" y="0"/>
                            <a:ext cx="4893691" cy="9144"/>
                          </a:xfrm>
                          <a:custGeom>
                            <a:avLst/>
                            <a:gdLst/>
                            <a:ahLst/>
                            <a:cxnLst/>
                            <a:rect l="0" t="0" r="0" b="0"/>
                            <a:pathLst>
                              <a:path w="4893691" h="9144">
                                <a:moveTo>
                                  <a:pt x="0" y="0"/>
                                </a:moveTo>
                                <a:lnTo>
                                  <a:pt x="4893691" y="0"/>
                                </a:lnTo>
                                <a:lnTo>
                                  <a:pt x="489369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8932" style="width:536.58pt;height:0.400024pt;mso-position-horizontal-relative:char;mso-position-vertical-relative:line" coordsize="68145,50">
                <v:shape id="Shape 21711" style="position:absolute;width:19234;height:91;left:0;top:0;" coordsize="1923415,9144" path="m0,0l1923415,0l1923415,9144l0,9144l0,0">
                  <v:stroke weight="0pt" endcap="flat" joinstyle="miter" miterlimit="10" on="false" color="#000000" opacity="0"/>
                  <v:fill on="true" color="#000000"/>
                </v:shape>
                <v:shape id="Shape 21712" style="position:absolute;width:91;height:91;left:19157;top:0;" coordsize="9144,9144" path="m0,0l9144,0l9144,9144l0,9144l0,0">
                  <v:stroke weight="0pt" endcap="flat" joinstyle="miter" miterlimit="10" on="false" color="#000000" opacity="0"/>
                  <v:fill on="true" color="#000000"/>
                </v:shape>
                <v:shape id="Shape 21713" style="position:absolute;width:48936;height:91;left:19208;top:0;" coordsize="4893691,9144" path="m0,0l4893691,0l4893691,9144l0,9144l0,0">
                  <v:stroke weight="0pt" endcap="flat" joinstyle="miter" miterlimit="10" on="false" color="#000000" opacity="0"/>
                  <v:fill on="true" color="#000000"/>
                </v:shape>
              </v:group>
            </w:pict>
          </mc:Fallback>
        </mc:AlternateContent>
      </w:r>
    </w:p>
    <w:p w:rsidR="00F802FE" w:rsidRDefault="00A77DBE">
      <w:pPr>
        <w:spacing w:after="73" w:line="259" w:lineRule="auto"/>
        <w:ind w:left="16" w:right="0" w:firstLine="0"/>
        <w:jc w:val="left"/>
      </w:pPr>
      <w:r>
        <w:t xml:space="preserve"> </w:t>
      </w:r>
    </w:p>
    <w:p w:rsidR="0040756D" w:rsidRDefault="0040756D">
      <w:pPr>
        <w:pStyle w:val="Heading1"/>
      </w:pPr>
      <w:r w:rsidRPr="0040756D">
        <w:t xml:space="preserve">Pertanggungjawaban Pidana Anak Sebagai Pelaku </w:t>
      </w:r>
    </w:p>
    <w:p w:rsidR="00F802FE" w:rsidRDefault="0040756D">
      <w:pPr>
        <w:pStyle w:val="Heading1"/>
      </w:pPr>
      <w:r w:rsidRPr="0040756D">
        <w:t>Tindak Pidana Kekerasan Seksual</w:t>
      </w:r>
      <w:r>
        <w:t xml:space="preserve"> </w:t>
      </w:r>
    </w:p>
    <w:p w:rsidR="00F802FE" w:rsidRDefault="00A77DBE">
      <w:pPr>
        <w:spacing w:after="0" w:line="259" w:lineRule="auto"/>
        <w:ind w:left="18" w:right="0" w:firstLine="0"/>
        <w:jc w:val="center"/>
      </w:pPr>
      <w:r>
        <w:rPr>
          <w:b/>
        </w:rPr>
        <w:t xml:space="preserve"> </w:t>
      </w:r>
    </w:p>
    <w:p w:rsidR="00F802FE" w:rsidRDefault="006040C6">
      <w:pPr>
        <w:spacing w:after="0" w:line="259" w:lineRule="auto"/>
        <w:ind w:right="44" w:firstLine="0"/>
        <w:jc w:val="center"/>
      </w:pPr>
      <w:bookmarkStart w:id="0" w:name="_GoBack"/>
      <w:r>
        <w:rPr>
          <w:b/>
          <w:sz w:val="24"/>
        </w:rPr>
        <w:t>Doddy Hermawan</w:t>
      </w:r>
      <w:bookmarkEnd w:id="0"/>
      <w:r>
        <w:rPr>
          <w:b/>
          <w:sz w:val="24"/>
        </w:rPr>
        <w:t>, Alpi Sahari, Ahmad Fauzi</w:t>
      </w:r>
    </w:p>
    <w:p w:rsidR="00F802FE" w:rsidRDefault="006040C6">
      <w:pPr>
        <w:spacing w:after="0" w:line="259" w:lineRule="auto"/>
        <w:ind w:left="10" w:right="34" w:hanging="10"/>
        <w:jc w:val="center"/>
      </w:pPr>
      <w:r>
        <w:rPr>
          <w:sz w:val="20"/>
        </w:rPr>
        <w:t>Magister Ilmu Hukum</w:t>
      </w:r>
      <w:r w:rsidR="00A77DBE">
        <w:rPr>
          <w:sz w:val="20"/>
        </w:rPr>
        <w:t xml:space="preserve"> Universitas</w:t>
      </w:r>
      <w:r>
        <w:rPr>
          <w:sz w:val="20"/>
        </w:rPr>
        <w:t xml:space="preserve"> Muhammadiyah Sumatera Utara</w:t>
      </w:r>
    </w:p>
    <w:p w:rsidR="00F802FE" w:rsidRDefault="006040C6">
      <w:pPr>
        <w:spacing w:after="0" w:line="259" w:lineRule="auto"/>
        <w:ind w:left="10" w:right="37" w:hanging="10"/>
        <w:jc w:val="center"/>
      </w:pPr>
      <w:r>
        <w:rPr>
          <w:sz w:val="20"/>
        </w:rPr>
        <w:t>Medan Denai, Kota Medan Sumatera Utara</w:t>
      </w:r>
      <w:r w:rsidR="00A77DBE">
        <w:rPr>
          <w:sz w:val="20"/>
        </w:rPr>
        <w:t xml:space="preserve"> </w:t>
      </w:r>
    </w:p>
    <w:p w:rsidR="00F802FE" w:rsidRDefault="00A77DBE">
      <w:pPr>
        <w:spacing w:after="0" w:line="259" w:lineRule="auto"/>
        <w:ind w:left="10" w:right="37" w:hanging="10"/>
        <w:jc w:val="center"/>
      </w:pPr>
      <w:r>
        <w:rPr>
          <w:sz w:val="20"/>
        </w:rPr>
        <w:t>Correspondence email:</w:t>
      </w:r>
      <w:r w:rsidR="006040C6">
        <w:rPr>
          <w:sz w:val="20"/>
        </w:rPr>
        <w:t>doddy</w:t>
      </w:r>
      <w:r w:rsidR="00AB7545">
        <w:rPr>
          <w:sz w:val="20"/>
        </w:rPr>
        <w:t>hermawan</w:t>
      </w:r>
      <w:r w:rsidR="006040C6">
        <w:rPr>
          <w:sz w:val="20"/>
        </w:rPr>
        <w:t>@gmail.com</w:t>
      </w:r>
      <w:r>
        <w:rPr>
          <w:color w:val="0000FF"/>
          <w:sz w:val="20"/>
        </w:rPr>
        <w:t xml:space="preserve"> </w:t>
      </w:r>
    </w:p>
    <w:p w:rsidR="00F802FE" w:rsidRDefault="00A77DBE">
      <w:pPr>
        <w:spacing w:after="0" w:line="259" w:lineRule="auto"/>
        <w:ind w:left="16" w:right="0" w:firstLine="0"/>
        <w:jc w:val="left"/>
      </w:pPr>
      <w:r>
        <w:rPr>
          <w:i/>
          <w:color w:val="0000FF"/>
          <w:sz w:val="20"/>
        </w:rPr>
        <w:t xml:space="preserve"> </w:t>
      </w:r>
    </w:p>
    <w:p w:rsidR="00F802FE" w:rsidRDefault="00A77DBE" w:rsidP="0040756D">
      <w:pPr>
        <w:spacing w:line="250" w:lineRule="auto"/>
        <w:ind w:left="1" w:right="36" w:firstLine="0"/>
      </w:pPr>
      <w:r>
        <w:rPr>
          <w:b/>
          <w:sz w:val="20"/>
        </w:rPr>
        <w:t>Abstrak</w:t>
      </w:r>
      <w:r>
        <w:rPr>
          <w:sz w:val="20"/>
        </w:rPr>
        <w:t xml:space="preserve">. </w:t>
      </w:r>
      <w:r w:rsidR="0040756D" w:rsidRPr="0040756D">
        <w:rPr>
          <w:sz w:val="20"/>
        </w:rPr>
        <w:t>Tindak pidana dengan pelaku anak di Indonesia dari waktu ke waktu semakin mengkhawatirkan. Salah satu tindak pidana yang marak dilakukan oleh anak dan korbannya juga anak adalah pencabulan. Salah satu pemicu timbulnya pencabulan oleh anak dengan korban anak adalah maraknya situs-situs porno di internet yang dapat dengan mudah diakses oleh anak melalui handphone atau internet karena kemajuan teknologi. Kemajuan teknologi berdampak positif karena semakin memudahkan manusia dalam memenuhi kebutuhan namun juga memiliki dampak negatif apabila disalahgunakan. Jenis penelitian yang dipergunakan dalam penelitian ini adalah penelitian hukum normatif. Data pokok dalam penelitian ini adalah data sekunder, yaitu data atau informasi hasil penelaahan dokumen penelitian serupa pernah dilakukan sebelumnya, bahan kepustakaan seperti buku-buku, literatur, koran, majalah, jurnal ataupun arsip-arsip yang sesuai dengan penelitian yang akan di bahas. Analisis data dalam penelitian ini menggunakan secara kualitatif, yaitu didasarkan pada relevansi data dengan permasalahan, bukan berdasarkan banyaknya data (kuantitatif).</w:t>
      </w:r>
      <w:r w:rsidR="0040756D">
        <w:rPr>
          <w:sz w:val="20"/>
        </w:rPr>
        <w:t xml:space="preserve"> </w:t>
      </w:r>
      <w:r w:rsidR="0040756D" w:rsidRPr="0040756D">
        <w:rPr>
          <w:sz w:val="20"/>
        </w:rPr>
        <w:t>Berdasarkan hasil penelitian bahwa dalam Undang-Undang No. 23 Tahun 2002 tentang Perlindungan Anak sebagaimana yang telah diubah dengan Undang-Undang Nomor 35 Tahun 2014 tentang Perubahan Atas UndangUndang Nomor 23 Tahun 2002 tentang Perlindungan Anak juga memberikan perlindungan bagi anak yang diatur. Secara tegas dalam Pasal 15 Undang-Undang Nomor 35 Tahun 2014 tentang Perubahan Atas Undang-Undang Nomor 23 Tahun 2002 tentang Perlindungan Anak menyebutkan bahwa: “Setiap Anak berhak untuk memperoleh perlindungan” dari penyalahgunaan dalam kegiatan politik, Pelibatan dalam sengketa bersenjata, pelibatan dalam kerusuhan sosial, pelibatan dalam peristiwa yang mengandung unsur kekerasan, pelibatan dalam peperangan dan kejahatan seksual. Hukum menghendaki pemidanaan terhadap anak yang menjadi pelaku tindak pidana dalam kategori berat yang diancaman pidana lebih dari 7 tahun dan jika umur anak telah mencapai 14 (empat belas) tahun”. Bahwa Di Indonesia sendiri dengan lahirnya Undang-Undang Nomor 11 Tahun 2012 tentang Sistem Peradilan Pidana Anak menerapkan konsep diversi dan restorative justice sebagai bentuk penyelesaian permasalahan tindak pidana yang dilakukan oleh anak sebagai pelaku dan menjadikan pemidanaan sebagai suatu ultimum remidium atau upaya terakhir yang digunakan ketika tidak tercapainya penyelesaian yang tepat melalui kedua konsep ini</w:t>
      </w:r>
      <w:r>
        <w:rPr>
          <w:sz w:val="20"/>
        </w:rPr>
        <w:t xml:space="preserve">.  </w:t>
      </w:r>
    </w:p>
    <w:p w:rsidR="00F802FE" w:rsidRDefault="00A77DBE">
      <w:pPr>
        <w:spacing w:after="0" w:line="259" w:lineRule="auto"/>
        <w:ind w:left="16" w:right="0" w:firstLine="0"/>
        <w:jc w:val="left"/>
      </w:pPr>
      <w:r>
        <w:rPr>
          <w:sz w:val="20"/>
        </w:rPr>
        <w:t xml:space="preserve"> </w:t>
      </w:r>
    </w:p>
    <w:p w:rsidR="00F802FE" w:rsidRDefault="00A77DBE">
      <w:pPr>
        <w:spacing w:line="250" w:lineRule="auto"/>
        <w:ind w:left="1" w:right="36" w:firstLine="0"/>
      </w:pPr>
      <w:r>
        <w:rPr>
          <w:b/>
          <w:sz w:val="20"/>
        </w:rPr>
        <w:t>Kata Kunci</w:t>
      </w:r>
      <w:r>
        <w:rPr>
          <w:sz w:val="20"/>
        </w:rPr>
        <w:t xml:space="preserve">: </w:t>
      </w:r>
      <w:r w:rsidR="00AE0CA6">
        <w:rPr>
          <w:sz w:val="20"/>
        </w:rPr>
        <w:t>Pertanggungjawaban Pidana, Anak</w:t>
      </w:r>
      <w:r w:rsidR="0040756D" w:rsidRPr="0040756D">
        <w:rPr>
          <w:sz w:val="20"/>
        </w:rPr>
        <w:t>, Kekerasan Seksual</w:t>
      </w:r>
    </w:p>
    <w:p w:rsidR="00F802FE" w:rsidRDefault="00A77DBE">
      <w:pPr>
        <w:spacing w:after="0" w:line="259" w:lineRule="auto"/>
        <w:ind w:left="16" w:right="0" w:firstLine="0"/>
        <w:jc w:val="left"/>
      </w:pPr>
      <w:r>
        <w:rPr>
          <w:sz w:val="20"/>
        </w:rPr>
        <w:t xml:space="preserve"> </w:t>
      </w:r>
    </w:p>
    <w:p w:rsidR="00F802FE" w:rsidRDefault="00A77DBE">
      <w:pPr>
        <w:spacing w:line="249" w:lineRule="auto"/>
        <w:ind w:left="11" w:right="31" w:hanging="10"/>
      </w:pPr>
      <w:r>
        <w:rPr>
          <w:b/>
          <w:i/>
          <w:sz w:val="20"/>
        </w:rPr>
        <w:t>Abstract</w:t>
      </w:r>
      <w:r>
        <w:rPr>
          <w:i/>
          <w:sz w:val="20"/>
        </w:rPr>
        <w:t xml:space="preserve">. </w:t>
      </w:r>
      <w:r w:rsidR="00AE0CA6" w:rsidRPr="00AE0CA6">
        <w:rPr>
          <w:i/>
          <w:sz w:val="20"/>
        </w:rPr>
        <w:t xml:space="preserve">Crime against child perpetrators in Indonesia is getting more and more worrying from time to time. One of the most common crimes committed by children and their victims are children is sexual abuse. One of the triggers for the emergence of sexual abuse by children with child victims is the proliferation of pornographic sites on the internet that can be easily accessed by children via mobile phones or the internet due to technological advances. Technological progress has a positive impact because it makes it easier for humans to fulfill their needs but also has a negative impact if it is misused. The type of research used in this research is normative legal research. The main data in this study are secondary data, namely data or information from the review of similar research documents that have been done before, library materials such as books, literature, newspapers, magazines, journals or archives that are in accordance with the research to be discussed. The data analysis in this study was qualitative, which was based on the relevance of the data to the problem, not based on the amount of data (quantitative). Based on the results of research that in Law no. 23 of 2002 concerning Child Protection as amended by Law Number 35 of 2014 concerning Amendments to Law Number 23 of 2002 concerning Child Protection also provides regulated child protection. Strictly speaking Article 15 of Law Number 35 of 2014 concerning Amendments to Law Number 23 of 2002 concerning Child Protection states that: "Every child has the right to obtain protection" from abuse in political activities, involvement in armed disputes, involvement in riots social, involvement in events that contain elements of violence, involvement in war and sexual crimes. The law requires the punishment of children who are perpetrators of criminal acts in the severe category which are punishable by more than 7 years of imprisonment and if the child's age has reached 14 (fourteen) years. Whereas in Indonesia itself, with the issuance of Law Number 11 of 2012 concerning the Juvenile Criminal Justice System, applying the concept of diversion and restorative justice as a form of solving the problem of </w:t>
      </w:r>
      <w:r w:rsidR="00AE0CA6" w:rsidRPr="00AE0CA6">
        <w:rPr>
          <w:i/>
          <w:sz w:val="20"/>
        </w:rPr>
        <w:lastRenderedPageBreak/>
        <w:t>criminal acts committed by children as perpetrators and making sentencing as an ultimum remidium or last resort used when not achieving the right solution through these two concepts</w:t>
      </w:r>
      <w:r>
        <w:rPr>
          <w:i/>
          <w:sz w:val="20"/>
        </w:rPr>
        <w:t xml:space="preserve">. </w:t>
      </w:r>
    </w:p>
    <w:p w:rsidR="00F802FE" w:rsidRDefault="00A77DBE">
      <w:pPr>
        <w:spacing w:after="0" w:line="259" w:lineRule="auto"/>
        <w:ind w:left="16" w:right="0" w:firstLine="0"/>
        <w:jc w:val="left"/>
      </w:pPr>
      <w:r>
        <w:rPr>
          <w:i/>
          <w:sz w:val="20"/>
        </w:rPr>
        <w:t xml:space="preserve"> </w:t>
      </w:r>
    </w:p>
    <w:p w:rsidR="00F802FE" w:rsidRDefault="00AE0CA6">
      <w:pPr>
        <w:spacing w:after="0" w:line="259" w:lineRule="auto"/>
        <w:ind w:left="16" w:right="0" w:firstLine="0"/>
        <w:jc w:val="left"/>
      </w:pPr>
      <w:r w:rsidRPr="00AE0CA6">
        <w:rPr>
          <w:b/>
          <w:i/>
          <w:sz w:val="20"/>
        </w:rPr>
        <w:t xml:space="preserve">Keywords: </w:t>
      </w:r>
      <w:r w:rsidRPr="00AE0CA6">
        <w:rPr>
          <w:i/>
          <w:sz w:val="20"/>
        </w:rPr>
        <w:t>Criminal Liability, Children, Sexual Violence</w:t>
      </w:r>
      <w:r w:rsidR="00A77DBE">
        <w:rPr>
          <w:b/>
          <w:i/>
        </w:rPr>
        <w:t xml:space="preserve"> </w:t>
      </w:r>
      <w:r>
        <w:rPr>
          <w:b/>
          <w:i/>
        </w:rPr>
        <w:br/>
      </w:r>
    </w:p>
    <w:p w:rsidR="00F802FE" w:rsidRDefault="00A77DBE">
      <w:pPr>
        <w:pStyle w:val="Heading2"/>
        <w:ind w:left="11"/>
      </w:pPr>
      <w:r>
        <w:t xml:space="preserve">PENDAHULUAN  </w:t>
      </w:r>
    </w:p>
    <w:p w:rsidR="00AE0CA6" w:rsidRDefault="00AE0CA6" w:rsidP="00AE0CA6">
      <w:pPr>
        <w:ind w:right="49" w:firstLine="720"/>
      </w:pPr>
      <w:r>
        <w:t>Salah satu kasus kekerasan seksual dengan pelaku dan korban anak terjadi pada tanggal 27 Februari 2018 di Kecamatan Rumpin, Kabupaten Bogor, dimana anak perempuan berusia 8 tahun menjadi korban kekerasan seksual oleh 6 orang anak teman seusianya. Kekerasan seksual lainnya, dimana anak sebagai salah satu pelakunya terjadi pada bulan Mei tahun 2016 di salah satu kos di Jalan Raya Perancis Pergudangan 8 Dadap, Kecamatan Kosambi, Kabupaten Tangerang. Dimana korban adalah seorang karyawati PT. Polyta Global Mandiri, bernama Eno Farihah yang berusia 19 (Sembilan belas) tahun. Korban diperkosa hingga tewas oleh 3 (tiga) orang, yaitu RAR umur 24 tahun, IH umur 24 tahun dan RAI umur 16 tahun. Korban meninggal akibat adanya gagang cangkul yang tertancap pada lobang vagina dan luka-luka pada bagian tubuh lainnya.</w:t>
      </w:r>
    </w:p>
    <w:p w:rsidR="00AE0CA6" w:rsidRDefault="00AE0CA6" w:rsidP="00AE0CA6">
      <w:pPr>
        <w:ind w:right="49" w:firstLine="720"/>
      </w:pPr>
      <w:r>
        <w:t>Menurut data dari Lembaga Perlindungan saksi dan korban (LPSK), kekerasan seksual terhadap anak meningkat dari 25 kasus pada tahun 2016, 81 kasus pada tahun 2017 sampai dengan 206 kasus pada tahun 2018, baik itu anak sebagai korban maupun anak sebagai pelaku.  Dan berdasarkan data dari Yayasan Kita dan Buah Hati (YKBH), pada tahun 2013, 95% siswa kelas 4 - 6 SD di Jakarta pernah melihat konten pornografi. Dalam keadaan darurat kejahatan seksual seperti ini, kita sebagai orang dewasa tidak bisa diam saja, perlu ada pengawasan yang sangat ketat terhadap berbagai aktifitas anak, baik itu aktifitas mereka di sekolah maupun di rumah. Selain itu, terkait dengan anak pelaku pencabulan, harus diberikan perlakuan khusus agar mereka bisa menyadari bahayanya.</w:t>
      </w:r>
    </w:p>
    <w:p w:rsidR="00AE0CA6" w:rsidRDefault="00AE0CA6" w:rsidP="00AE0CA6">
      <w:pPr>
        <w:ind w:right="49" w:firstLine="720"/>
      </w:pPr>
      <w:r>
        <w:t>Anak yang berkonflik dengan hukum berdasarkan Undang-Undang Nomor Sistem Peradilan Pidana Anak (UU SPPA) Pasal 1 ayat 3 diartikan bagi anak yang berusia 12 tahun tetapi belum berusia 18 tahun yang diduga melakukan tindak pidana. Pertanggungjawaban pidana dapat dikenakan pada anak yang berkonflik dengan hukum dengan ketentuan yang telah secara tegas diatur dalam UU SPPPA, tidak terkecuali terhadap anak yang melakukan pencabulan. Dari data hasil kerjasama Kementrian Pemberdayaan Perempuan dan Perlindungan anak dengan Badan Pusat Statistik, pada tahun 2018 jumlah anak pelaku tindak pidana di Indonesia yang berusia di bawah usia 18 tahun berjumlah 3048 orang. Dari jumlah tersebut sebanyak 894 orang anak atau 29,33% masih berstatus sebagai tahanan dan sebanyak 2154 orang anak atau 70,67% telah berstatus narapidana atau anak didik, yang berada dalam Rumah Tahanan (RUTAN) dan Lembaga Pemasyarakatan (LP). Masalah dapat dirumuskan sebagai salah satu pernyataan tetapi lebih baik dengan suatu pertanyaan. Keunggulan menggunakan rumusan masalah dalam bentuk pertanyaan ini adalah untuk mengontrol hasil penelitian,  maka dapat dirumuskan permasalahan dalam penulisan ini sebagai berikut :</w:t>
      </w:r>
    </w:p>
    <w:p w:rsidR="00AE0CA6" w:rsidRDefault="00AE0CA6" w:rsidP="00AE0CA6">
      <w:pPr>
        <w:pStyle w:val="ListParagraph"/>
        <w:numPr>
          <w:ilvl w:val="0"/>
          <w:numId w:val="8"/>
        </w:numPr>
        <w:ind w:left="567" w:right="49" w:hanging="284"/>
      </w:pPr>
      <w:r>
        <w:t>Bagaimana pertanggungjawaban pidana Anak Sebagai Pelaku Tindak Pidana Kekerasan Seksual berdasarkan Undang-Undang Sistem Peradilan Pidana Anak di Indonesia ?</w:t>
      </w:r>
    </w:p>
    <w:p w:rsidR="00AE0CA6" w:rsidRDefault="00AE0CA6" w:rsidP="00AE0CA6">
      <w:pPr>
        <w:pStyle w:val="ListParagraph"/>
        <w:numPr>
          <w:ilvl w:val="0"/>
          <w:numId w:val="8"/>
        </w:numPr>
        <w:ind w:left="567" w:right="49" w:hanging="284"/>
      </w:pPr>
      <w:r>
        <w:t>Bagaimana penerapan pertanggungjawaban pidana Anak Sebagai Pelaku Tindak Pidana Kekerasan Seksual?</w:t>
      </w:r>
    </w:p>
    <w:p w:rsidR="00AE0CA6" w:rsidRDefault="00AE0CA6" w:rsidP="00AE0CA6">
      <w:pPr>
        <w:ind w:right="49" w:firstLine="720"/>
      </w:pPr>
    </w:p>
    <w:p w:rsidR="00F802FE" w:rsidRDefault="00A77DBE">
      <w:pPr>
        <w:pStyle w:val="Heading2"/>
        <w:ind w:left="11"/>
      </w:pPr>
      <w:r>
        <w:t xml:space="preserve">METODE  </w:t>
      </w:r>
    </w:p>
    <w:p w:rsidR="00F802FE" w:rsidRDefault="00A77DBE">
      <w:pPr>
        <w:ind w:left="1" w:right="49"/>
      </w:pPr>
      <w:r>
        <w:t xml:space="preserve">Penelitian ini merupakan penelitian hukum dengan menggunakan metode penelitian  hukum normatif.  Menurut </w:t>
      </w:r>
      <w:r>
        <w:rPr>
          <w:b/>
        </w:rPr>
        <w:t xml:space="preserve">Philipus M Hadjon </w:t>
      </w:r>
      <w:r>
        <w:t>dan</w:t>
      </w:r>
      <w:r>
        <w:rPr>
          <w:b/>
        </w:rPr>
        <w:t xml:space="preserve"> Tatiek Sri Djatmiati </w:t>
      </w:r>
      <w:r>
        <w:t>penelitian</w:t>
      </w:r>
      <w:r>
        <w:rPr>
          <w:b/>
        </w:rPr>
        <w:t xml:space="preserve"> </w:t>
      </w:r>
      <w:r>
        <w:t>hukum normatif</w:t>
      </w:r>
      <w:r>
        <w:rPr>
          <w:b/>
        </w:rPr>
        <w:t xml:space="preserve"> </w:t>
      </w:r>
      <w:r>
        <w:t>beranjak dari hakekat keilmuan hukum</w:t>
      </w:r>
      <w:r>
        <w:rPr>
          <w:vertAlign w:val="superscript"/>
        </w:rPr>
        <w:footnoteReference w:id="1"/>
      </w:r>
      <w:r>
        <w:t xml:space="preserve">. Sejalan dengan itu </w:t>
      </w:r>
      <w:r>
        <w:rPr>
          <w:b/>
        </w:rPr>
        <w:t>Peter Mahmud Marzuki</w:t>
      </w:r>
      <w:r>
        <w:t xml:space="preserve">  mengemukan </w:t>
      </w:r>
      <w:r>
        <w:rPr>
          <w:i/>
        </w:rPr>
        <w:t>Legal Research</w:t>
      </w:r>
      <w:r>
        <w:t xml:space="preserve"> adalah penelitian hukum yang mengunakan pendekatan, pendekatan perundang – undangan (</w:t>
      </w:r>
      <w:r>
        <w:rPr>
          <w:i/>
        </w:rPr>
        <w:t>Statute Aprroach</w:t>
      </w:r>
      <w:r>
        <w:t>), pendekatan konseptual (</w:t>
      </w:r>
      <w:r>
        <w:rPr>
          <w:i/>
        </w:rPr>
        <w:t xml:space="preserve">Conceptual </w:t>
      </w:r>
    </w:p>
    <w:p w:rsidR="00F802FE" w:rsidRDefault="00A77DBE">
      <w:pPr>
        <w:spacing w:after="27" w:line="248" w:lineRule="auto"/>
        <w:ind w:left="1" w:right="40" w:firstLine="0"/>
      </w:pPr>
      <w:r>
        <w:rPr>
          <w:i/>
        </w:rPr>
        <w:t>Approach)</w:t>
      </w:r>
      <w:r>
        <w:rPr>
          <w:vertAlign w:val="superscript"/>
        </w:rPr>
        <w:footnoteReference w:id="2"/>
      </w:r>
      <w:r>
        <w:t xml:space="preserve"> </w:t>
      </w:r>
    </w:p>
    <w:p w:rsidR="00F802FE" w:rsidRDefault="00A77DBE">
      <w:pPr>
        <w:spacing w:after="29"/>
        <w:ind w:left="1" w:right="49"/>
      </w:pPr>
      <w:r>
        <w:t xml:space="preserve">Dalam pembahasan pertama penulis menjelaskan mengenai pendekatan perundang – undangan ( </w:t>
      </w:r>
      <w:r>
        <w:rPr>
          <w:i/>
        </w:rPr>
        <w:t xml:space="preserve">Statute Aprroach </w:t>
      </w:r>
      <w:r>
        <w:t xml:space="preserve">), dalam metode ini penulis perlu memahami hierarki, dan asas – asas dalam peraturan perundang – undangan. </w:t>
      </w:r>
      <w:r w:rsidR="00AE0CA6">
        <w:t>P</w:t>
      </w:r>
      <w:r>
        <w:t xml:space="preserve">eraturan perundang – undangan adalah peraturan tertulis yang memuat norma hukum yang mengikat secara umum dan dibentuk atau ditetapkan oleh lembaga Negara atau pejabat yang berwenang melalui prosedur yang ditetapkan dalam peraturan perundang – undangan. Dari pengertian tersebut, secara singkat dapat dikatakan bahwa yang dimaksud sebagai </w:t>
      </w:r>
      <w:r>
        <w:rPr>
          <w:i/>
        </w:rPr>
        <w:t>statute</w:t>
      </w:r>
      <w:r>
        <w:t xml:space="preserve"> berupa legislasi dan regulasi. Jika demikian, pendekatan peraturan perundang – undangan adalah pendekatan dengan menggunakan legislasi dan regulasi.</w:t>
      </w:r>
      <w:r>
        <w:rPr>
          <w:vertAlign w:val="superscript"/>
        </w:rPr>
        <w:t>16</w:t>
      </w:r>
      <w:r>
        <w:t xml:space="preserve"> </w:t>
      </w:r>
    </w:p>
    <w:p w:rsidR="00F802FE" w:rsidRDefault="00A77DBE">
      <w:pPr>
        <w:ind w:left="1" w:right="49"/>
      </w:pPr>
      <w:r>
        <w:t>Pembahasan kedua penulis menjelaskan mengenai pendekatan konseptual (</w:t>
      </w:r>
      <w:r>
        <w:rPr>
          <w:i/>
        </w:rPr>
        <w:t>Conceptual Aprroach</w:t>
      </w:r>
      <w:r>
        <w:t xml:space="preserve">), pendekatan konseptual dilakukan manakala peneliti tidak beranjak dari aturan hukum yang ada. Hal itu dilakukan karena memang </w:t>
      </w:r>
      <w:r>
        <w:lastRenderedPageBreak/>
        <w:t>belum atau tidak ada aturan hukum untuk masalah yang dihadapi. Dalam membangun konsep hukum dengan beranjak dari pandangan – pandangan dan doktrin – doktrin yang berkembang didalam ilmu hukum.</w:t>
      </w:r>
      <w:r>
        <w:rPr>
          <w:vertAlign w:val="superscript"/>
        </w:rPr>
        <w:footnoteReference w:id="3"/>
      </w:r>
      <w:r>
        <w:t xml:space="preserve"> </w:t>
      </w:r>
    </w:p>
    <w:p w:rsidR="00F802FE" w:rsidRDefault="00A77DBE">
      <w:pPr>
        <w:spacing w:after="0" w:line="259" w:lineRule="auto"/>
        <w:ind w:left="16" w:right="0" w:firstLine="0"/>
        <w:jc w:val="left"/>
      </w:pPr>
      <w:r>
        <w:rPr>
          <w:b/>
        </w:rPr>
        <w:t xml:space="preserve"> </w:t>
      </w:r>
    </w:p>
    <w:p w:rsidR="006040C6" w:rsidRDefault="00A77DBE">
      <w:pPr>
        <w:pStyle w:val="Heading2"/>
        <w:ind w:left="11"/>
      </w:pPr>
      <w:r>
        <w:t xml:space="preserve">HASIL DAN PEMBAHASAN </w:t>
      </w:r>
    </w:p>
    <w:p w:rsidR="00AE0CA6" w:rsidRDefault="00970694" w:rsidP="00970694">
      <w:pPr>
        <w:ind w:firstLine="0"/>
        <w:rPr>
          <w:b/>
        </w:rPr>
      </w:pPr>
      <w:r w:rsidRPr="00970694">
        <w:rPr>
          <w:b/>
        </w:rPr>
        <w:t>Pertanggungjawaban Pidana Anak Sebagai Pelaku</w:t>
      </w:r>
      <w:r>
        <w:rPr>
          <w:b/>
        </w:rPr>
        <w:t xml:space="preserve"> </w:t>
      </w:r>
      <w:r w:rsidRPr="00970694">
        <w:rPr>
          <w:b/>
        </w:rPr>
        <w:t>Tindak Pidana Kekerasan Seksual</w:t>
      </w:r>
    </w:p>
    <w:p w:rsidR="00970694" w:rsidRPr="00970694" w:rsidRDefault="00970694" w:rsidP="00970694">
      <w:pPr>
        <w:spacing w:after="0" w:line="240" w:lineRule="auto"/>
        <w:ind w:firstLine="720"/>
        <w:rPr>
          <w:szCs w:val="24"/>
        </w:rPr>
      </w:pPr>
      <w:r w:rsidRPr="00970694">
        <w:rPr>
          <w:szCs w:val="24"/>
        </w:rPr>
        <w:t>Dewasa ini kenakalan remaja semakin meningkat baik secara kualitas maupun kuantitasnya. Yang memprihatinkan lagi kenakalan yang dilakukan oleh remaja tersebut bukan kenakalan biasa, tetapi cenderung mengarah pada tindakan kriminal, yang tidak sesuai dengan norma yang berlaku dalam masyarakat (khususnya tindak pidana kesusilaan). Oleh karena itu, perlindungan hak-hak anak jangan sampai diabaikan, untuk itu diperlukan upaya-upaya untuk memberikan jaminan bagi terpeliharanya perlindungan hak-hak anak. Dalam hal ini prinsip kepentingan yang terbaik untuk anak adalah dalam semua tindakan yang menyangkut anak yang dilakukan oleh pemerintah, masyarakat, badan legislatif dan badan yudikatif, maka kepentingan yang terbaik bagi anak harus menjadi yang utama.</w:t>
      </w:r>
      <w:r w:rsidRPr="00970694">
        <w:rPr>
          <w:rStyle w:val="FootnoteReference"/>
          <w:szCs w:val="24"/>
        </w:rPr>
        <w:footnoteReference w:id="4"/>
      </w:r>
    </w:p>
    <w:p w:rsidR="00970694" w:rsidRPr="00970694" w:rsidRDefault="00970694" w:rsidP="00970694">
      <w:pPr>
        <w:spacing w:after="0" w:line="240" w:lineRule="auto"/>
        <w:ind w:firstLine="720"/>
        <w:rPr>
          <w:szCs w:val="24"/>
        </w:rPr>
      </w:pPr>
      <w:r w:rsidRPr="00970694">
        <w:rPr>
          <w:szCs w:val="24"/>
        </w:rPr>
        <w:t>Kejahatan perkosaan yang dilakukan oleh anak di bawah umur dipengaruhi oleh berbagai faktor antara lain kondisi psikologi, ada juga faktor yang mendorong terjadinya tindak pidana pelecehan seksual oleh anak yaitu karena anak tersebut tidak mendapat kasih sayang dari orang tuanya, orang tua lupa diri sebagai orang tua karena terlalu sibuk, juga disebabkan oleh pihak-pihak tertentu yang tidak bertanggung jawab, pengaruh lingkungan, kebebasan pergaulan akibat tidak mendapat perhatian orang tua di rumah, adanya film dan video yang lepas sensor, bacaan-bacaan yang dapat menimbulkan rangsangan dan pengaruh bagi yang membaca dan melihatnya, akibatnya banyak terjadi penyimpangan seksual terutama oleh anak usia remaja yang dapat merusak jiwa anak tersebut. Biasanya anak-anak praremaja yang berpotensi sebagai korban dan pelaku pelecehan seksual.</w:t>
      </w:r>
      <w:r w:rsidRPr="00970694">
        <w:rPr>
          <w:rStyle w:val="FootnoteReference"/>
          <w:szCs w:val="24"/>
        </w:rPr>
        <w:footnoteReference w:id="5"/>
      </w:r>
    </w:p>
    <w:p w:rsidR="00970694" w:rsidRPr="00970694" w:rsidRDefault="00970694" w:rsidP="00970694">
      <w:pPr>
        <w:spacing w:after="0" w:line="240" w:lineRule="auto"/>
        <w:ind w:firstLine="720"/>
        <w:rPr>
          <w:szCs w:val="24"/>
        </w:rPr>
      </w:pPr>
      <w:r w:rsidRPr="00970694">
        <w:rPr>
          <w:szCs w:val="24"/>
        </w:rPr>
        <w:t>Tindak pelecehan seksual oleh anak yang terjadi merupakan suatu masalah yang memerlukan perhatian khusus bagi pemerintah, oleh karena berkaitan dengan moralitas para generasi bangsa. Belakangan ini banyak terjadi kasus kejahatan pelecehan seksual terhadap anak, dimana pelakunya adalah anak-anak dan kebanyakan adalah yang dikenal oleh korban. Aktivitas seksual anak remaja yang menyimpang sangat memprihatinkan karena telah mengarah pada tindakan kriminal yang secara hukum pidana telah menyalahi ketentuan undang-undang. Pelecehan seksual yang terjadi pada anak-anak bukanlah suatu kasus baru dalam masyarakat, kebanyakan pelaku kejahatan seksual itu adalah orang dewasa meski tidak sedikit pelakunya adalah anak-anak usia remaja sampai menjelang dewasa.</w:t>
      </w:r>
      <w:r w:rsidRPr="00970694">
        <w:rPr>
          <w:rStyle w:val="FootnoteReference"/>
          <w:szCs w:val="24"/>
        </w:rPr>
        <w:footnoteReference w:id="6"/>
      </w:r>
      <w:r w:rsidRPr="00970694">
        <w:rPr>
          <w:szCs w:val="24"/>
        </w:rPr>
        <w:t xml:space="preserve"> </w:t>
      </w:r>
    </w:p>
    <w:p w:rsidR="00970694" w:rsidRPr="00970694" w:rsidRDefault="00970694" w:rsidP="00970694">
      <w:pPr>
        <w:spacing w:after="0" w:line="240" w:lineRule="auto"/>
        <w:ind w:firstLine="720"/>
        <w:rPr>
          <w:szCs w:val="24"/>
        </w:rPr>
      </w:pPr>
      <w:r w:rsidRPr="00970694">
        <w:rPr>
          <w:szCs w:val="24"/>
        </w:rPr>
        <w:t xml:space="preserve">Sistem peradilan anak itu sendiri sebenarnya sudah baik, namun baik buruknya sebuah sistem tetaplah terpulang kepada kemauan dan kemampuan para pelaksananya untuk mengutamakan kepentingan dan perlindungan serta memberikan yang terbaik kepada anak yang berhadapan dengan hukum (the best interest of the Childern). Salah satu institusi pemerintah yang relatif banyak berhadapan langsung dengan anak-anak yang berhadapan dengan hukum adalah institusi Pengadilan, hal ini karena kasus-kasus pidana yang dihadapi anak muaranya akan diselesaikan di Pengadilan. Pada saat penyelesaian kasus di Pengadilan inilah anak yang menjadi korban tindak pidana dan pelakunya berinteraksi dengan Hakim baik secara langsung maupun tidak langsung. Selama proses peradilan tersebut Hakim di Pengadilan mempunyai kewajiban untuk melindungi anak yang menjadi korban tindak pidana dan anak sebagai pelaku tindak pidana. </w:t>
      </w:r>
    </w:p>
    <w:p w:rsidR="00970694" w:rsidRPr="00970694" w:rsidRDefault="00970694" w:rsidP="00970694">
      <w:pPr>
        <w:spacing w:after="0" w:line="240" w:lineRule="auto"/>
        <w:ind w:firstLine="720"/>
        <w:rPr>
          <w:szCs w:val="24"/>
        </w:rPr>
      </w:pPr>
      <w:r w:rsidRPr="00970694">
        <w:rPr>
          <w:szCs w:val="24"/>
        </w:rPr>
        <w:t xml:space="preserve">Dalam Undang-Undang Pengadilan Anak, telah ditentukan pembedaan perlakuan di dalam hukum acaranya, dari mulai saat penyidikan hingga proses pemeriksaan perkara anak pada sidang Pengadilan Anak. Pembedaan ancaman pidana bagi anak ditentukan oleh KUHP, yang penjatuhan pidananya ditentukan paling lama setengah dari maksimum ancaman pidana terhadap orang dewasa, sedangkan penjatuhan pidana mati dan pidana penjara seumur hidup tidak diberlakukan terhadap anak. Sanksi yang dijatuhkan terhadap anak dalam undang-undang tersebut ditentukan berdasar perbedaan umur, yaitu bagi anak yang masih berumur 8 sampai 12 tahun hanya dikenakan tindakan, sedangkan bagi anak yang telah beusia di atas 12 sampai 18 tahun dapat dijatuhi pidana. </w:t>
      </w:r>
    </w:p>
    <w:p w:rsidR="00970694" w:rsidRPr="00970694" w:rsidRDefault="00970694" w:rsidP="00970694">
      <w:pPr>
        <w:spacing w:after="0" w:line="240" w:lineRule="auto"/>
        <w:ind w:firstLine="720"/>
        <w:rPr>
          <w:szCs w:val="24"/>
        </w:rPr>
      </w:pPr>
      <w:r w:rsidRPr="00970694">
        <w:rPr>
          <w:szCs w:val="24"/>
        </w:rPr>
        <w:t xml:space="preserve">Setiap anak pelaku tindak pidana yang masuk sistem peradilan pidana harus diperlakukan secara manusiawi sebagaimana termuat dalam UU No.3 tahun 2003 tentang perlindungan anak, yaitu nondiskriminasi, kepentingan terbaik bagi anak, hak untuk hidup, kelangsungan hidup dan perkembangannya, serta penghargaan terhadap anak. </w:t>
      </w:r>
    </w:p>
    <w:p w:rsidR="00970694" w:rsidRPr="00970694" w:rsidRDefault="00970694" w:rsidP="00970694">
      <w:pPr>
        <w:spacing w:after="0" w:line="240" w:lineRule="auto"/>
        <w:ind w:firstLine="720"/>
        <w:rPr>
          <w:szCs w:val="24"/>
        </w:rPr>
      </w:pPr>
      <w:r w:rsidRPr="00970694">
        <w:rPr>
          <w:szCs w:val="24"/>
        </w:rPr>
        <w:t xml:space="preserve">Pada pasal 64 UU No.23 tahun 2002 tentang perlindungan anak juga mengatur perlindungan terhadap anak yaitu: </w:t>
      </w:r>
    </w:p>
    <w:p w:rsidR="00970694" w:rsidRPr="00970694" w:rsidRDefault="00970694" w:rsidP="00970694">
      <w:pPr>
        <w:pStyle w:val="ListParagraph"/>
        <w:numPr>
          <w:ilvl w:val="0"/>
          <w:numId w:val="13"/>
        </w:numPr>
        <w:spacing w:after="0" w:line="240" w:lineRule="auto"/>
        <w:ind w:left="567" w:right="0" w:hanging="283"/>
        <w:rPr>
          <w:szCs w:val="24"/>
        </w:rPr>
      </w:pPr>
      <w:r w:rsidRPr="00970694">
        <w:rPr>
          <w:szCs w:val="24"/>
        </w:rPr>
        <w:t>Perlakuan atas anak secara manusiawi sesuai dengan martabat dan hak-hak anak</w:t>
      </w:r>
    </w:p>
    <w:p w:rsidR="00970694" w:rsidRPr="00970694" w:rsidRDefault="00970694" w:rsidP="00970694">
      <w:pPr>
        <w:pStyle w:val="ListParagraph"/>
        <w:numPr>
          <w:ilvl w:val="0"/>
          <w:numId w:val="13"/>
        </w:numPr>
        <w:spacing w:after="0" w:line="240" w:lineRule="auto"/>
        <w:ind w:left="567" w:right="0" w:hanging="283"/>
        <w:rPr>
          <w:szCs w:val="24"/>
        </w:rPr>
      </w:pPr>
      <w:r w:rsidRPr="00970694">
        <w:rPr>
          <w:szCs w:val="24"/>
        </w:rPr>
        <w:t xml:space="preserve">Penyediaan petugas pendamping khusus anak sejak dini </w:t>
      </w:r>
    </w:p>
    <w:p w:rsidR="00970694" w:rsidRPr="00970694" w:rsidRDefault="00970694" w:rsidP="00970694">
      <w:pPr>
        <w:pStyle w:val="ListParagraph"/>
        <w:numPr>
          <w:ilvl w:val="0"/>
          <w:numId w:val="13"/>
        </w:numPr>
        <w:spacing w:after="0" w:line="240" w:lineRule="auto"/>
        <w:ind w:left="567" w:right="0" w:hanging="283"/>
        <w:rPr>
          <w:szCs w:val="24"/>
        </w:rPr>
      </w:pPr>
      <w:r w:rsidRPr="00970694">
        <w:rPr>
          <w:szCs w:val="24"/>
        </w:rPr>
        <w:t>Penyediaan sarana dan prasarana khusus</w:t>
      </w:r>
    </w:p>
    <w:p w:rsidR="00970694" w:rsidRDefault="00970694" w:rsidP="00970694">
      <w:pPr>
        <w:pStyle w:val="ListParagraph"/>
        <w:numPr>
          <w:ilvl w:val="0"/>
          <w:numId w:val="13"/>
        </w:numPr>
        <w:spacing w:after="0" w:line="240" w:lineRule="auto"/>
        <w:ind w:left="567" w:right="0" w:hanging="283"/>
        <w:rPr>
          <w:szCs w:val="24"/>
        </w:rPr>
      </w:pPr>
      <w:r w:rsidRPr="00970694">
        <w:rPr>
          <w:szCs w:val="24"/>
        </w:rPr>
        <w:t>Penjatuhan sanksi yang tepat untuk kepentingan yang tebaik bagi anak.</w:t>
      </w:r>
    </w:p>
    <w:p w:rsidR="00970694" w:rsidRPr="00970694" w:rsidRDefault="00970694" w:rsidP="00970694">
      <w:pPr>
        <w:pStyle w:val="ListParagraph"/>
        <w:numPr>
          <w:ilvl w:val="0"/>
          <w:numId w:val="13"/>
        </w:numPr>
        <w:spacing w:after="0" w:line="240" w:lineRule="auto"/>
        <w:ind w:left="567" w:right="0" w:hanging="283"/>
        <w:rPr>
          <w:szCs w:val="24"/>
        </w:rPr>
      </w:pPr>
      <w:r w:rsidRPr="00970694">
        <w:rPr>
          <w:szCs w:val="24"/>
        </w:rPr>
        <w:lastRenderedPageBreak/>
        <w:t>Pemantauan dan pencatatan terus-menerus terhadap perkembangan anak yang berhadapan dengan hukum. Pemberian jaminan untuk mempertahankan hubungan dengan orang tua atau keluarga.</w:t>
      </w:r>
    </w:p>
    <w:p w:rsidR="00970694" w:rsidRPr="00970694" w:rsidRDefault="00970694" w:rsidP="00970694">
      <w:pPr>
        <w:pStyle w:val="ListParagraph"/>
        <w:numPr>
          <w:ilvl w:val="0"/>
          <w:numId w:val="13"/>
        </w:numPr>
        <w:spacing w:after="0" w:line="240" w:lineRule="auto"/>
        <w:ind w:left="567" w:right="0" w:hanging="283"/>
        <w:rPr>
          <w:szCs w:val="24"/>
        </w:rPr>
      </w:pPr>
      <w:r w:rsidRPr="00970694">
        <w:rPr>
          <w:szCs w:val="24"/>
        </w:rPr>
        <w:t>Perlindungan dari pemberitaan identitas melalui media massa dan untuk menghindari labelisasi</w:t>
      </w:r>
    </w:p>
    <w:p w:rsidR="00970694" w:rsidRPr="00970694" w:rsidRDefault="00970694" w:rsidP="00970694">
      <w:pPr>
        <w:spacing w:after="0" w:line="240" w:lineRule="auto"/>
        <w:ind w:firstLine="720"/>
        <w:rPr>
          <w:szCs w:val="24"/>
        </w:rPr>
      </w:pPr>
      <w:r w:rsidRPr="00970694">
        <w:rPr>
          <w:szCs w:val="24"/>
        </w:rPr>
        <w:t xml:space="preserve">Anak yang melakukan tindak pidana atau anak yang melakukan perbuatan yang dinyatakan terlarang bagi anak dapat dilakukan penahanan. UU nasional memberikan peluang dilakukannya penahanan terhadap anak pelaku tindak pidana. Contohnya pasal 43 ayat 2 UU No.3 tahun 1997 menyatakan bahwa “Penangkapan anak nakal dilakukan guna kepentingan pemeriksaan untuk paling lama 1 (satu) hari”. Dalam pasal 44 ayat 2 menyebutkan bahwa “Penahanan hanya berlaku utuk paling lama 20 hari. Dalam ayat 3 menyebutkan bahwa “Apabila diperlukan guna kepentinan pemeriksaan yang belum selesai, atas permintaan penyidik dapat diperpanjang oleh penuntut umum yang berwenang, untuk paling lama 10 hari”. Selanjutnya dalam ayat 4 menyatakan bahwa “Dalam jangka waktu 30 hari penyidik sebagaimana yang dimaksud dalam ayat 3 sudah harus menyerahkan berkas perkara pada pihak penuntut umum. Jika dalam jangka waktu 30 hari polisi belum menyerahkan berkas perkara pada pihak penuntut umum, maka tersangka harus dikeluarkan dari tahanan demi hukum”. Selama anak ditahan, anak harus berada ditempat khusus dengan kebutuhan jasmani, rohani, dan sosial anak harus tetap dipenuhi. </w:t>
      </w:r>
    </w:p>
    <w:p w:rsidR="00970694" w:rsidRPr="00970694" w:rsidRDefault="00970694" w:rsidP="00970694">
      <w:pPr>
        <w:spacing w:after="0" w:line="240" w:lineRule="auto"/>
        <w:ind w:firstLine="720"/>
        <w:rPr>
          <w:szCs w:val="24"/>
        </w:rPr>
      </w:pPr>
      <w:r w:rsidRPr="00970694">
        <w:rPr>
          <w:szCs w:val="24"/>
        </w:rPr>
        <w:t xml:space="preserve">Putusan atau vonis, memang bukan suatu masalah yang sulit. Pekerjaan membuat suatu putusan merupakan pekerjaan rutin yang setiap hari dilakukan. Namun demikian, justru karena rutinitas tersebut seringkali Hakim mengabaikan standar normatif yang harus ditempuh untuk membuat suatu putusan. Kondisi tersebut bisa dilihat pada pertimbangan hukum yang diambil para majelis Hakim ketika mengambil suatu putusan. Banyak pertimbangan hukum yang dibuat secara asal-asalan, bahkan apabila hal tersebut hanya menyangkut perkara-perkara pasaran yang setiap hari ditanganinya. Hal ini menyebabkan di lingkungan Pengadilan masih sedikit ditemukan putusan Hakim yang mempunyai kualitas ilmiah untuk dapat dikaji secara akademik bagi pengembangan hukum. Putusan dari Hakim merupakan sebuah hukum bagi terdakwa pada khususnya dan menjadi sebuah hukum yang berlaku luas apabila menjadi sebuah yurisprudensi yang akan diikuti oleh para Hakim dalam memutus suatu perkara yang sama. </w:t>
      </w:r>
    </w:p>
    <w:p w:rsidR="00970694" w:rsidRPr="00970694" w:rsidRDefault="00970694" w:rsidP="00970694">
      <w:pPr>
        <w:spacing w:after="0" w:line="240" w:lineRule="auto"/>
        <w:ind w:firstLine="720"/>
        <w:rPr>
          <w:szCs w:val="24"/>
        </w:rPr>
      </w:pPr>
      <w:r w:rsidRPr="00970694">
        <w:rPr>
          <w:szCs w:val="24"/>
        </w:rPr>
        <w:t xml:space="preserve">Apabila suatu perkara yang diputus sudah keliru dan pada akhirnya menjadi sebuah yurisprudensi, maka yang terjadi adalah tidak terciptanya keadilan berdasarkan Ketuhanan Yang Maha Esa seperti yang dicantumkan dalam setiap putusan Hakim, khususnya dalam pelaksanaan perlindungan hukum terhadap anak korban pemerkosaan menurut Undang-Undang Nomor 23 Tahun 2002 tentang Perlindungan Anak. </w:t>
      </w:r>
      <w:r>
        <w:rPr>
          <w:szCs w:val="24"/>
        </w:rPr>
        <w:t xml:space="preserve"> </w:t>
      </w:r>
      <w:r w:rsidRPr="00970694">
        <w:rPr>
          <w:szCs w:val="24"/>
        </w:rPr>
        <w:t xml:space="preserve">Selama ini menurut penulis masih ada Hakim dalam mengambil putusan terhadap pekara pemerkosaan yang dilakukan anak hanya ditegakkan pada nilai-nilai individualistis, yang mengabaikan prinsip keadilan. Hukum pidana hanya mempersoalkan 3 hal yaitu perbuatan yang dilarang, pertanggung-jawaban (orangnya/pelaku), dan sanksi pidana, sehingga korban tidak menjadi perhatian. Sehubungan dengan kasus pemerkosaan, kedudukan korban dalam proses peradilan pidana hanyalah sebagai saksi korban. Korban justru dirugikan dan seolah-olah tidak dimanusiakan, hanya penting untuk memberikan keterangan tentang apa yang dilakukan pelaku, dan dijadikan barang bukti untuk mendapatkan visum et repertum. </w:t>
      </w:r>
    </w:p>
    <w:p w:rsidR="00970694" w:rsidRPr="00970694" w:rsidRDefault="00970694" w:rsidP="00970694">
      <w:pPr>
        <w:spacing w:after="0" w:line="240" w:lineRule="auto"/>
        <w:ind w:firstLine="720"/>
        <w:rPr>
          <w:szCs w:val="24"/>
        </w:rPr>
      </w:pPr>
      <w:r w:rsidRPr="00970694">
        <w:rPr>
          <w:szCs w:val="24"/>
        </w:rPr>
        <w:t xml:space="preserve">Perlindungan korban lebih banyak bersifat perlindungan abstrak atau perlindungan tidak langsung. Artinya, dengan adanya berbagai perumusan tindak pidana dalam peraturan perundang-undangan selama ini berarti pada hakikatnya telah ada perlindungan in abstrak secara tidak langsung terhadap berbagai kepentingan hukum dan hak-hak asasi korban. Yang masih disayangkan adalah dalam perkara pemerkosaan yang dilakukan oleh anak, Hakim cenderung lebih mengutamakan perlindungan terhadap anak sebagai pelaku (yang diatur dalam UUPA), sehingga perlindungan anak sebagai korban terabaikan (yang juga diatur dalam UUPA). </w:t>
      </w:r>
    </w:p>
    <w:p w:rsidR="00970694" w:rsidRPr="00970694" w:rsidRDefault="00970694" w:rsidP="00970694">
      <w:pPr>
        <w:spacing w:after="0" w:line="240" w:lineRule="auto"/>
        <w:ind w:firstLine="720"/>
        <w:rPr>
          <w:szCs w:val="24"/>
        </w:rPr>
      </w:pPr>
      <w:r w:rsidRPr="00970694">
        <w:rPr>
          <w:szCs w:val="24"/>
        </w:rPr>
        <w:t xml:space="preserve">Sebagai contoh perkara kesusilaan yang dilakukan oleh beberapa orang anak dibawah umur (pelakunya berjumlah 6 orang yang berusia antara umur 8 th sampai dengan 10 th) terhadap anak yang berusia 6 th. Walaupun pada akhirnya putusannya adalah berupa tindakan dimana para pelaku dikembalikan kepada orangtua sesuai dengan pasal 26 ayat (4) UU No. 3 tahun 1997: </w:t>
      </w:r>
      <w:r>
        <w:rPr>
          <w:szCs w:val="24"/>
        </w:rPr>
        <w:t xml:space="preserve"> </w:t>
      </w:r>
      <w:r w:rsidRPr="00970694">
        <w:rPr>
          <w:szCs w:val="24"/>
        </w:rPr>
        <w:t xml:space="preserve">“bahwa anak nakal yang belum mencapai umur 12 (duabelas) tahun melakukan tindakan pidana yang tidak diancam pidana mati atau tidak diancam pidana penjara seumur hidup, maka terhadap Anak Nakal tersebut dijatuhkan salah satu tindakan sebagaimana dimaksud dalam pasal 24 UU No. 3 Tahun 1997”. </w:t>
      </w:r>
    </w:p>
    <w:p w:rsidR="00970694" w:rsidRPr="00970694" w:rsidRDefault="00970694" w:rsidP="00970694">
      <w:pPr>
        <w:spacing w:after="0" w:line="240" w:lineRule="auto"/>
        <w:ind w:firstLine="720"/>
        <w:rPr>
          <w:szCs w:val="24"/>
        </w:rPr>
      </w:pPr>
      <w:r w:rsidRPr="00970694">
        <w:rPr>
          <w:szCs w:val="24"/>
        </w:rPr>
        <w:t>Maksudnya, Pengadilan perlu memberikan sanksi yang paling tepat pada anakanak yang melakukan tindak pidana terutama kejahatan seksual. Pemberian atau penjatuhan hukuman dalam perkara anak-anak mempunyai tujuan edukatif dalam pemberian sanksi pada anak. Untuk itu meski tindak pidana dilakukan oleh anak di bawah umur tidak dikenakan pertanggung jawaban pidana atau jarimah-jarimah yang diperbuatnya, akan tetapi ia bisa dijatuhi pengajaran. Indonesia menanamkan dan memegang teguh prinsip kesamaan dihadapan hukum dan perlindungan hukum tanpa diskriminasi dengan begitu jelas dan tegas. Hakim ditugaskan untuk menjalankan tugas-tugas dengan adil dan tidak berpihak. Sanksi pidana mengenai pemerkosaan terhadap anak diatur pula di luar KUHP yaitu terdapat dalam Undang-Undang Nomor 23 Tahun 2002 tentang Perlindungan Anak, ketentuan tersebut dalam pasal 81 yaitu sebagai berikut:</w:t>
      </w:r>
    </w:p>
    <w:p w:rsidR="00970694" w:rsidRPr="00970694" w:rsidRDefault="00970694" w:rsidP="00970694">
      <w:pPr>
        <w:pStyle w:val="ListParagraph"/>
        <w:numPr>
          <w:ilvl w:val="0"/>
          <w:numId w:val="14"/>
        </w:numPr>
        <w:spacing w:after="0" w:line="240" w:lineRule="auto"/>
        <w:ind w:left="567" w:right="0" w:hanging="283"/>
        <w:rPr>
          <w:szCs w:val="24"/>
        </w:rPr>
      </w:pPr>
      <w:r w:rsidRPr="00970694">
        <w:rPr>
          <w:szCs w:val="24"/>
        </w:rPr>
        <w:t>Setiap orang yang dengan sengaja melakukan kekerasan atau ancaman kekerasan memaksa anak melakukan persetubuhan dengannya atau dengan orang lain, dipidana dengan pidana penjara paling lama 15 (lima belas) tahun dan paling singkat 3 (tiga) tahun dan denda paling banyak Rp 300.000.000,00 (tiga ratus juta rupiah) dan paling sedikit Rp 60.000.000,00 (enam puluh juta rupiah).</w:t>
      </w:r>
    </w:p>
    <w:p w:rsidR="00970694" w:rsidRPr="00970694" w:rsidRDefault="00970694" w:rsidP="00970694">
      <w:pPr>
        <w:pStyle w:val="ListParagraph"/>
        <w:numPr>
          <w:ilvl w:val="0"/>
          <w:numId w:val="14"/>
        </w:numPr>
        <w:spacing w:after="0" w:line="240" w:lineRule="auto"/>
        <w:ind w:left="567" w:right="0" w:hanging="283"/>
        <w:rPr>
          <w:szCs w:val="24"/>
        </w:rPr>
      </w:pPr>
      <w:r w:rsidRPr="00970694">
        <w:rPr>
          <w:szCs w:val="24"/>
        </w:rPr>
        <w:lastRenderedPageBreak/>
        <w:t xml:space="preserve">Ketentuan pidana sebagaimana dimaksud dalam ayat (1) berlaku pula bagi setiap orang yang dengan sengaja melakukan tipu muslihat, serangkaian kebohongan, atau membujuk anak melakukan persetubuhan dengannya atau dengan orang lain. </w:t>
      </w:r>
    </w:p>
    <w:p w:rsidR="00970694" w:rsidRPr="00970694" w:rsidRDefault="00970694" w:rsidP="00970694">
      <w:pPr>
        <w:spacing w:after="0" w:line="240" w:lineRule="auto"/>
        <w:ind w:firstLine="720"/>
        <w:rPr>
          <w:szCs w:val="24"/>
        </w:rPr>
      </w:pPr>
      <w:r w:rsidRPr="00970694">
        <w:rPr>
          <w:szCs w:val="24"/>
        </w:rPr>
        <w:t xml:space="preserve">Menurut pendapat penulis, Perlakuan di pengadilan bagi seorang anak sebagai pelaku tindak pidana kejahatan perkosaan tidak dapat dipersamakan dengan orang dewasa sebagaimana dijelaskan dalam peraturan perundang-undangan nomor 11 tahun 2012 tentang peradilan anak dalam pasal 1 ayat 3 yang menyatakan bahwa Anak yang Berkonflik dengan Hukum yang selanjutnya disebut Anak adalah anak yang telah berumur 12 (dua belas) tahun, tetapi belum berumur 18 (delapan belas) tahun yang diduga melakukan tindak pidana. hal ini dikarenakan adanya batasan umur bagi anak yang melakukan tindak pidana kejahatan. Hal ini juga dikatakan oleh prof. pompe adapun Menurut pendapat Prof. Pompe, dengan melihat pada ketentuan pidana dalam pasal 45 KUHP, dimana terdapat ketentuan-ketentuan tentang langkah-langkah yang dapat diambil oleh hakim, seperti mengembalikan orang yang salah kepada orang tua atau walinya, menempatkan orang yang bersalah di bawah pengawasan pemerintah dan menjatuhkan pidana bagi orang yang bersalah, maka Prof. Van Hamel, Prof. Simons dan Hazewingkelsuringa berpendapat bahwa anak-anak sebagai pelaku tindak pidana dapat dipidana, walaupun anak-anak tersebut tidak dapat membuat suatu </w:t>
      </w:r>
      <w:r w:rsidRPr="00970694">
        <w:rPr>
          <w:i/>
          <w:szCs w:val="24"/>
        </w:rPr>
        <w:t>oordel des onderscheids</w:t>
      </w:r>
      <w:r w:rsidRPr="00970694">
        <w:rPr>
          <w:szCs w:val="24"/>
        </w:rPr>
        <w:t xml:space="preserve"> pada waktu mereka melakukan suatu tindak pidana atau walaupun sebenarnya mereka tidak dapat dipertanggungjawabkan atas perbuatan-perbuatan mereka.</w:t>
      </w:r>
      <w:r w:rsidRPr="00970694">
        <w:rPr>
          <w:rStyle w:val="FootnoteReference"/>
          <w:szCs w:val="24"/>
        </w:rPr>
        <w:footnoteReference w:id="7"/>
      </w:r>
    </w:p>
    <w:p w:rsidR="00970694" w:rsidRDefault="00970694" w:rsidP="00970694">
      <w:pPr>
        <w:spacing w:after="0" w:line="240" w:lineRule="auto"/>
        <w:ind w:firstLine="720"/>
        <w:rPr>
          <w:szCs w:val="24"/>
        </w:rPr>
      </w:pPr>
      <w:r w:rsidRPr="00970694">
        <w:rPr>
          <w:szCs w:val="24"/>
        </w:rPr>
        <w:t>Dasar yang dapat dipakai hakim dalam memutuskan menjatuhkan suatu pidana atau akan mengambil tindakan lain, dalam Memorie van Toelichting (risalah penjelasan undang-undang) disebutkan bahwa yang harus dipakai sebagai pertimbangan untuk memilih tindakan-tindakan lain seperti itu adalah apakah watak dari anak itu memang menghendaki diberikannya suatu pendidikan yang lama dan sistematis kepada anak itu, ataupun karena keadaan dan lingkungannya, sehingga anak itu untuk suatu jangka waktu yang cukup lama harus dijauhkan dari lingkungan tersebut.</w:t>
      </w:r>
      <w:r w:rsidRPr="00970694">
        <w:rPr>
          <w:rStyle w:val="FootnoteReference"/>
          <w:szCs w:val="24"/>
        </w:rPr>
        <w:footnoteReference w:id="8"/>
      </w:r>
      <w:r w:rsidRPr="00970694">
        <w:rPr>
          <w:szCs w:val="24"/>
        </w:rPr>
        <w:t xml:space="preserve"> Hakim harus menyadari bahwa dalam menghadapi anak-anak yang telah melakukan tindak pidana, yang penting baginya bukanlah apakah anak-anak tersebut dapat dihukum atau tidak, melainkan tindakan yang bagaimanakah yang harus ia ambil untuk mendidik anak-anak tersebut. 8 Hakim juga harus memahami pemikiran, bahwa bagi pembentuk undang-undang suatu pidana merupakan sarana yang lebih sederhana untuk mendidik seorang anak daripada mengirimkan anak tersebut ke suatu lembaga pendidikan paksa, dimana anak itu perlu dididik sescara sistematis untuk suatu jangka waktu yang cukup lama, yang bukan saja memerlukan biaya yang sangat besar melainkan juga merupakan suatu pengekangan yang terlalu lama terhadap seorang anak.</w:t>
      </w:r>
    </w:p>
    <w:p w:rsidR="00970694" w:rsidRPr="00970694" w:rsidRDefault="00970694" w:rsidP="00970694">
      <w:pPr>
        <w:spacing w:after="0" w:line="240" w:lineRule="auto"/>
        <w:ind w:firstLine="720"/>
        <w:rPr>
          <w:szCs w:val="24"/>
        </w:rPr>
      </w:pPr>
      <w:r w:rsidRPr="00970694">
        <w:rPr>
          <w:szCs w:val="24"/>
        </w:rPr>
        <w:t>Hakim dalam menjatuhan pidana terhadap anak yang melakukan tindak pidana pemerkosaan terhadap anak di bawah umur seharusnya memperhatikan akibat-akibat yang timbul dari adanya suatu perbuatan tersebut baik aspek psikis maupun aspek psikologis dari korban, sehingga dalam putusannya dapat memuaskan rasa keadilan bagi korban dan masyarakat. Melihat kenyataan tersebut maka sudah seharusnya hukum pidana memberikan sanksi yang setimpal bagi pelaku kejahatan tersebut sehingga supremasi hukum benar-benar ditegakkan dan tercipta ketertiban dalam masyarakat. Sanksi diharapkan memberikan efek jera bagi pelaku kejahatan sehingga tidak akan mengulangi perbuatannya dimasa mendatang serta mencegah orang lain agar tidak melakukan kejahatan tersebut karena suatu ancaman sanksi yang cukup berat. Selain anak mendapat kesempatan mengganti kesalahan dengan berbuat baik pada si korban dan memelihara hubungan dengan keluarga korban. Pada akhirnya anak diberi kesempatan untuk rekonsiliasi dan penyembuhan dalam masyarakat yang dirugikan oleh tindak pidananya. Namun demikian seorang Hakim tetap harus memperhatikan kemampuan pertanggung jawabkan pidana pelaku kejahatan dalam menjatuhkan hukuman. Jangan ada keraguan dalam menjatuhkan hukuman bagaimanapun juga suatu kejahatan harus mendapat imbalan atau hukuman yang sepantasnya, karena hukuman selain dijadikan suatu balasan atas kejahatan dapat juga sebagai perbaikan dan pencegahan akan semakin maraknya tindak kejahatan</w:t>
      </w:r>
    </w:p>
    <w:p w:rsidR="00970694" w:rsidRPr="00970694" w:rsidRDefault="00970694" w:rsidP="00970694">
      <w:pPr>
        <w:ind w:firstLine="0"/>
        <w:rPr>
          <w:b/>
        </w:rPr>
      </w:pPr>
    </w:p>
    <w:p w:rsidR="00AE0CA6" w:rsidRDefault="00AE0CA6">
      <w:pPr>
        <w:pStyle w:val="Heading2"/>
        <w:ind w:left="11"/>
      </w:pPr>
      <w:r w:rsidRPr="00AE0CA6">
        <w:t>Penerapan Pertanggungjawaban Pidana Anak Sebagai Pelaku Tindak Pidana Kekerasan Seksual</w:t>
      </w:r>
    </w:p>
    <w:p w:rsidR="00AE0CA6" w:rsidRDefault="00AE0CA6" w:rsidP="00AE0CA6">
      <w:pPr>
        <w:pStyle w:val="ListParagraph"/>
        <w:spacing w:after="0" w:line="240" w:lineRule="auto"/>
        <w:ind w:left="0" w:firstLine="720"/>
      </w:pPr>
      <w:r w:rsidRPr="00AE0CA6">
        <w:t xml:space="preserve">Sejalan dengan yang diungkapkan oleh Ruslan Saleh dalam tulisan Tjadra Sridjaja Pradjonggo yaitu perbuatan pidana dipisahkan dari pertanggungjawban pidana, dan dipisahkan pula dari kesalahan. Lain halnya dengan </w:t>
      </w:r>
      <w:r w:rsidRPr="00AE0CA6">
        <w:rPr>
          <w:i/>
        </w:rPr>
        <w:t>Strafbarr feit</w:t>
      </w:r>
      <w:r w:rsidRPr="00AE0CA6">
        <w:t>, didalamnya dicakup pengertian perbuatan pidana dan kesalahan.</w:t>
      </w:r>
      <w:r w:rsidRPr="00AE0CA6">
        <w:rPr>
          <w:vertAlign w:val="superscript"/>
        </w:rPr>
        <w:footnoteReference w:id="9"/>
      </w:r>
      <w:r>
        <w:t xml:space="preserve"> </w:t>
      </w:r>
      <w:r w:rsidRPr="00AE0CA6">
        <w:t>Pertanggungjawaban pidana merupakan penilaian yang dilakukan setelah dipenuhinya seluruh unsur tindak pidana atau terbuktinya tindak pidana. Penilaian ini dilakukan secara objektif dan subjektif, penilaian secara objektif berhubungan dengan pembuat dengan norma hukum yang dilanggarnya, sehingga berkaitan dengan nilai-nilai moral yang dilanggarnya, pada akhirnya, kesalahan ini berionritasi pada nilai-nilai moralitas patut untuk dicela. Penilaian secara subjektif dilakukan terhadap pembuat bahwa keadaan-keadaan psykologis tertentu yang telah melanggar moralitas patut dicela atau tidak dicela.</w:t>
      </w:r>
      <w:r w:rsidRPr="00AE0CA6">
        <w:rPr>
          <w:vertAlign w:val="superscript"/>
        </w:rPr>
        <w:footnoteReference w:id="10"/>
      </w:r>
    </w:p>
    <w:p w:rsidR="00AE0CA6" w:rsidRPr="00AE0CA6" w:rsidRDefault="00AE0CA6" w:rsidP="00AE0CA6">
      <w:pPr>
        <w:pStyle w:val="ListParagraph"/>
        <w:spacing w:after="0" w:line="240" w:lineRule="auto"/>
        <w:ind w:left="0" w:firstLine="720"/>
      </w:pPr>
      <w:r w:rsidRPr="00AE0CA6">
        <w:lastRenderedPageBreak/>
        <w:t>Kedua penilaian ini merupakan unsur utama dalam menentukan pertanggungjawaban pidana. Penilaian secara objektif dilakukan dengan mendasarkan pada kepentingan hukum yang hendak dilindungi oleh norma hukum yang dilanggarnya. Penilaian secara subjektif dilakukan dengan berdasarkan prinsip-prinsip keadilan bahwa keadaan psykologis pembuat yang sedemikian rupa dapat dipertanggungjawabkan atau tidak.</w:t>
      </w:r>
    </w:p>
    <w:p w:rsidR="00AE0CA6" w:rsidRPr="00AE0CA6" w:rsidRDefault="00AE0CA6" w:rsidP="00AE0CA6">
      <w:pPr>
        <w:pStyle w:val="NormalWeb"/>
        <w:shd w:val="clear" w:color="auto" w:fill="FFFFFF"/>
        <w:spacing w:before="0" w:beforeAutospacing="0" w:after="0" w:afterAutospacing="0"/>
        <w:ind w:firstLine="720"/>
        <w:jc w:val="both"/>
        <w:textAlignment w:val="baseline"/>
        <w:rPr>
          <w:sz w:val="22"/>
          <w:szCs w:val="22"/>
        </w:rPr>
      </w:pPr>
      <w:r w:rsidRPr="00AE0CA6">
        <w:rPr>
          <w:sz w:val="22"/>
          <w:szCs w:val="22"/>
        </w:rPr>
        <w:t>Dalam konteks kejahatan atau kekerasan seksual yang dilakukan oleh anak terhadap anak, Howard E. Barbaree dan William L. Marshall (2016) dalam bukunya yang berjudul “</w:t>
      </w:r>
      <w:r w:rsidRPr="00AE0CA6">
        <w:rPr>
          <w:rStyle w:val="Emphasis"/>
          <w:sz w:val="22"/>
          <w:szCs w:val="22"/>
          <w:bdr w:val="none" w:sz="0" w:space="0" w:color="auto" w:frame="1"/>
        </w:rPr>
        <w:t>An Introduction to the Juvenile Sex Offender</w:t>
      </w:r>
      <w:r w:rsidRPr="00AE0CA6">
        <w:rPr>
          <w:sz w:val="22"/>
          <w:szCs w:val="22"/>
        </w:rPr>
        <w:t>” membedakan antara </w:t>
      </w:r>
      <w:r w:rsidRPr="00AE0CA6">
        <w:rPr>
          <w:rStyle w:val="Emphasis"/>
          <w:sz w:val="22"/>
          <w:szCs w:val="22"/>
          <w:bdr w:val="none" w:sz="0" w:space="0" w:color="auto" w:frame="1"/>
        </w:rPr>
        <w:t>children</w:t>
      </w:r>
      <w:r w:rsidRPr="00AE0CA6">
        <w:rPr>
          <w:sz w:val="22"/>
          <w:szCs w:val="22"/>
        </w:rPr>
        <w:t> dan </w:t>
      </w:r>
      <w:r w:rsidRPr="00AE0CA6">
        <w:rPr>
          <w:rStyle w:val="Emphasis"/>
          <w:sz w:val="22"/>
          <w:szCs w:val="22"/>
          <w:bdr w:val="none" w:sz="0" w:space="0" w:color="auto" w:frame="1"/>
        </w:rPr>
        <w:t>juvenile</w:t>
      </w:r>
      <w:r w:rsidRPr="00AE0CA6">
        <w:rPr>
          <w:sz w:val="22"/>
          <w:szCs w:val="22"/>
        </w:rPr>
        <w:t>. </w:t>
      </w:r>
      <w:r w:rsidRPr="00AE0CA6">
        <w:rPr>
          <w:rStyle w:val="Emphasis"/>
          <w:sz w:val="22"/>
          <w:szCs w:val="22"/>
          <w:bdr w:val="none" w:sz="0" w:space="0" w:color="auto" w:frame="1"/>
        </w:rPr>
        <w:t>Children</w:t>
      </w:r>
      <w:r w:rsidRPr="00AE0CA6">
        <w:rPr>
          <w:sz w:val="22"/>
          <w:szCs w:val="22"/>
        </w:rPr>
        <w:t> tidak memiliki tanggung jawab hukum ketika melakukan kejahatan seksual terhadap anak. Di banyak negara, seseorang yang belum mencapai usia 12 tahun digolongkan sebagai </w:t>
      </w:r>
      <w:r w:rsidRPr="00AE0CA6">
        <w:rPr>
          <w:rStyle w:val="Emphasis"/>
          <w:sz w:val="22"/>
          <w:szCs w:val="22"/>
          <w:bdr w:val="none" w:sz="0" w:space="0" w:color="auto" w:frame="1"/>
        </w:rPr>
        <w:t>a chil</w:t>
      </w:r>
      <w:r w:rsidRPr="00AE0CA6">
        <w:rPr>
          <w:sz w:val="22"/>
          <w:szCs w:val="22"/>
        </w:rPr>
        <w:t>d. Dengan kata lain anak-anak yang belum mencapai usia 12 tahun tidak dapat digolongkan sebagai pelaku kejahatan seksual (</w:t>
      </w:r>
      <w:r w:rsidRPr="00AE0CA6">
        <w:rPr>
          <w:rStyle w:val="Emphasis"/>
          <w:sz w:val="22"/>
          <w:szCs w:val="22"/>
          <w:bdr w:val="none" w:sz="0" w:space="0" w:color="auto" w:frame="1"/>
        </w:rPr>
        <w:t>sex offender</w:t>
      </w:r>
      <w:r w:rsidRPr="00AE0CA6">
        <w:rPr>
          <w:sz w:val="22"/>
          <w:szCs w:val="22"/>
        </w:rPr>
        <w:t>), sehingga tidak bisa dikenakan sanksi pidana. Sementara itu,  </w:t>
      </w:r>
      <w:r w:rsidRPr="00AE0CA6">
        <w:rPr>
          <w:rStyle w:val="Emphasis"/>
          <w:sz w:val="22"/>
          <w:szCs w:val="22"/>
          <w:bdr w:val="none" w:sz="0" w:space="0" w:color="auto" w:frame="1"/>
        </w:rPr>
        <w:t>juvenile</w:t>
      </w:r>
      <w:r w:rsidRPr="00AE0CA6">
        <w:rPr>
          <w:sz w:val="22"/>
          <w:szCs w:val="22"/>
        </w:rPr>
        <w:t> adalah anak-anak yang melakukan kejahatan tetapi telah memiliki tanggung jawab hukum. Usia mereka umumnya berkisar antara 12-17 tahun. Dalam konteks ini, ketika anak-anak dalam kategori </w:t>
      </w:r>
      <w:r w:rsidRPr="00AE0CA6">
        <w:rPr>
          <w:rStyle w:val="Emphasis"/>
          <w:sz w:val="22"/>
          <w:szCs w:val="22"/>
          <w:bdr w:val="none" w:sz="0" w:space="0" w:color="auto" w:frame="1"/>
        </w:rPr>
        <w:t>junevile </w:t>
      </w:r>
      <w:r w:rsidRPr="00AE0CA6">
        <w:rPr>
          <w:sz w:val="22"/>
          <w:szCs w:val="22"/>
        </w:rPr>
        <w:t>melakukan tindak pidana seksual, maka perbuatan tersebut dapat dipertanggungjawabkan kepada mereka. Hal ini dalam literatur di Amerika sering disebut sebagai </w:t>
      </w:r>
      <w:r w:rsidRPr="00AE0CA6">
        <w:rPr>
          <w:rStyle w:val="Emphasis"/>
          <w:sz w:val="22"/>
          <w:szCs w:val="22"/>
          <w:bdr w:val="none" w:sz="0" w:space="0" w:color="auto" w:frame="1"/>
        </w:rPr>
        <w:t>juvenile sex offender</w:t>
      </w:r>
      <w:r w:rsidRPr="00AE0CA6">
        <w:rPr>
          <w:sz w:val="22"/>
          <w:szCs w:val="22"/>
        </w:rPr>
        <w:t>.  </w:t>
      </w:r>
    </w:p>
    <w:p w:rsidR="00AE0CA6" w:rsidRPr="00AE0CA6" w:rsidRDefault="00AE0CA6" w:rsidP="00AE0CA6">
      <w:pPr>
        <w:pStyle w:val="NormalWeb"/>
        <w:shd w:val="clear" w:color="auto" w:fill="FFFFFF"/>
        <w:spacing w:before="0" w:beforeAutospacing="0" w:after="0" w:afterAutospacing="0"/>
        <w:ind w:firstLine="720"/>
        <w:jc w:val="both"/>
        <w:textAlignment w:val="baseline"/>
        <w:rPr>
          <w:sz w:val="22"/>
          <w:szCs w:val="22"/>
        </w:rPr>
      </w:pPr>
      <w:r w:rsidRPr="00AE0CA6">
        <w:rPr>
          <w:sz w:val="22"/>
          <w:szCs w:val="22"/>
        </w:rPr>
        <w:t>Secara lebih khusus, </w:t>
      </w:r>
      <w:r w:rsidRPr="00AE0CA6">
        <w:rPr>
          <w:rStyle w:val="Emphasis"/>
          <w:sz w:val="22"/>
          <w:szCs w:val="22"/>
          <w:bdr w:val="none" w:sz="0" w:space="0" w:color="auto" w:frame="1"/>
        </w:rPr>
        <w:t>juvenile sex offender</w:t>
      </w:r>
      <w:r w:rsidRPr="00AE0CA6">
        <w:rPr>
          <w:sz w:val="22"/>
          <w:szCs w:val="22"/>
        </w:rPr>
        <w:t> didefinisikan sebagai: </w:t>
      </w:r>
      <w:r w:rsidRPr="00AE0CA6">
        <w:rPr>
          <w:rStyle w:val="Emphasis"/>
          <w:sz w:val="22"/>
          <w:szCs w:val="22"/>
          <w:bdr w:val="none" w:sz="0" w:space="0" w:color="auto" w:frame="1"/>
        </w:rPr>
        <w:t>a person who has been convicted of a sexual offense and who is considered by law to be old enough to be held criminally responsible for the crime (generally by age enough), but not so old as to be  full range of adult criminal sanction (as would be the case after his or her 18</w:t>
      </w:r>
      <w:r w:rsidRPr="00AE0CA6">
        <w:rPr>
          <w:rStyle w:val="Emphasis"/>
          <w:sz w:val="22"/>
          <w:szCs w:val="22"/>
          <w:bdr w:val="none" w:sz="0" w:space="0" w:color="auto" w:frame="1"/>
          <w:vertAlign w:val="superscript"/>
        </w:rPr>
        <w:t>th</w:t>
      </w:r>
      <w:r w:rsidRPr="00AE0CA6">
        <w:rPr>
          <w:rStyle w:val="Emphasis"/>
          <w:sz w:val="22"/>
          <w:szCs w:val="22"/>
          <w:bdr w:val="none" w:sz="0" w:space="0" w:color="auto" w:frame="1"/>
        </w:rPr>
        <w:t> birthday)</w:t>
      </w:r>
      <w:r w:rsidRPr="00AE0CA6">
        <w:rPr>
          <w:sz w:val="22"/>
          <w:szCs w:val="22"/>
        </w:rPr>
        <w:t>.</w:t>
      </w:r>
      <w:r>
        <w:rPr>
          <w:sz w:val="22"/>
          <w:szCs w:val="22"/>
          <w:lang w:val="id-ID"/>
        </w:rPr>
        <w:t xml:space="preserve"> </w:t>
      </w:r>
      <w:r w:rsidRPr="00AE0CA6">
        <w:rPr>
          <w:sz w:val="22"/>
          <w:szCs w:val="22"/>
        </w:rPr>
        <w:t>Meskipun ada perbedaan kadar pertanggungjawaban antara anak-anak yang melakukan kejahatan dalam rentang usia di bawah 12 tahun dengan rentang usia 12-17 tahun, namun terkadang sulit untuk membedakan antara aktivitas seksual yang dilakukan oleh anak di kedua kelompok umur ini. Demikian juga ketika dikomparasikan dengan aktivitas seksual orang dewasa. Contohnya ketika seorang anak berusia 15 tahun melakukan hubungan seksual  dengan anak usia 13 tahun, hubungan seksual yang mereka lakukan seperti layaknya hubungan seksual yang dilakukan oleh orang dewasa, apakah perbuatan yang dilakukan oleh anak usia 15 tahun ini dapat digolongkan sebagai kejahatan seksual atau tidak, tentu tidak semua hubungan seksual tersebut merupakan kejahatan, tergantung banyak hal, apakah ada pengaturan </w:t>
      </w:r>
      <w:r w:rsidRPr="00AE0CA6">
        <w:rPr>
          <w:rStyle w:val="Emphasis"/>
          <w:sz w:val="22"/>
          <w:szCs w:val="22"/>
          <w:bdr w:val="none" w:sz="0" w:space="0" w:color="auto" w:frame="1"/>
        </w:rPr>
        <w:t>sex consent</w:t>
      </w:r>
      <w:r w:rsidRPr="00AE0CA6">
        <w:rPr>
          <w:sz w:val="22"/>
          <w:szCs w:val="22"/>
        </w:rPr>
        <w:t> di suatu negara, dan berapa batasan usia </w:t>
      </w:r>
      <w:r w:rsidRPr="00AE0CA6">
        <w:rPr>
          <w:rStyle w:val="Emphasis"/>
          <w:sz w:val="22"/>
          <w:szCs w:val="22"/>
          <w:bdr w:val="none" w:sz="0" w:space="0" w:color="auto" w:frame="1"/>
        </w:rPr>
        <w:t>sex consent</w:t>
      </w:r>
      <w:r w:rsidRPr="00AE0CA6">
        <w:rPr>
          <w:sz w:val="22"/>
          <w:szCs w:val="22"/>
        </w:rPr>
        <w:t> tersebut, lalu apakah ada unsur </w:t>
      </w:r>
      <w:r w:rsidRPr="00AE0CA6">
        <w:rPr>
          <w:rStyle w:val="Emphasis"/>
          <w:sz w:val="22"/>
          <w:szCs w:val="22"/>
          <w:bdr w:val="none" w:sz="0" w:space="0" w:color="auto" w:frame="1"/>
        </w:rPr>
        <w:t>abusive</w:t>
      </w:r>
      <w:r w:rsidRPr="00AE0CA6">
        <w:rPr>
          <w:sz w:val="22"/>
          <w:szCs w:val="22"/>
        </w:rPr>
        <w:t> atau ancaman </w:t>
      </w:r>
      <w:r w:rsidRPr="00AE0CA6">
        <w:rPr>
          <w:rStyle w:val="Emphasis"/>
          <w:sz w:val="22"/>
          <w:szCs w:val="22"/>
          <w:bdr w:val="none" w:sz="0" w:space="0" w:color="auto" w:frame="1"/>
        </w:rPr>
        <w:t>abusive</w:t>
      </w:r>
      <w:r w:rsidRPr="00AE0CA6">
        <w:rPr>
          <w:sz w:val="22"/>
          <w:szCs w:val="22"/>
        </w:rPr>
        <w:t>. Oleh sebab itu, menurut Howard &amp; Marshall harus dibedakan antara perbuatan jahat atau kekerasan seksual dengan perilaku seksual sebagai sebuah kejahatan. Masalah ini menjadi sangat </w:t>
      </w:r>
      <w:r w:rsidRPr="00AE0CA6">
        <w:rPr>
          <w:rStyle w:val="Emphasis"/>
          <w:sz w:val="22"/>
          <w:szCs w:val="22"/>
          <w:bdr w:val="none" w:sz="0" w:space="0" w:color="auto" w:frame="1"/>
        </w:rPr>
        <w:t>complicated</w:t>
      </w:r>
      <w:r w:rsidRPr="00AE0CA6">
        <w:rPr>
          <w:sz w:val="22"/>
          <w:szCs w:val="22"/>
        </w:rPr>
        <w:t xml:space="preserve"> selama norma-norma sosial mengalami perubahan yang sedemikian rupa di dalam suatu negara. Jika dilihat dari persfektif kriminologi, </w:t>
      </w:r>
    </w:p>
    <w:p w:rsidR="00AE0CA6" w:rsidRDefault="00AE0CA6" w:rsidP="00AE0CA6">
      <w:pPr>
        <w:spacing w:after="0" w:line="240" w:lineRule="auto"/>
        <w:ind w:firstLine="720"/>
      </w:pPr>
      <w:r w:rsidRPr="00AE0CA6">
        <w:t xml:space="preserve">Masalah pertanggungjawaban pidana terdapat suatu asas yang berhubungan dengan “kesalahan yakni </w:t>
      </w:r>
      <w:r w:rsidRPr="00AE0CA6">
        <w:rPr>
          <w:i/>
        </w:rPr>
        <w:t xml:space="preserve">“geen straf zonder sculd” </w:t>
      </w:r>
      <w:r w:rsidRPr="00AE0CA6">
        <w:t>asas ini merupakan asas yang tedapat dalam lapangan hukum pidana dan berhubungan dengan masalah pertanggungjawaban dalam hukum pidana.</w:t>
      </w:r>
      <w:r>
        <w:t xml:space="preserve"> </w:t>
      </w:r>
      <w:r w:rsidRPr="00AE0CA6">
        <w:t>Makna dari asas ini adalah meskipun seseorang telah melakukan perbuatan pidana dan telah memenuhi unsur-unsur yang dirumuskan dalam delik, perlu dibuktikan pula apakah dia dapat dipertanggungjawabkan atau tidak atas perbutannya tersebut.Artinya apakah seseorang tersebut telah melakukan kesalahan atau tidak.</w:t>
      </w:r>
      <w:r w:rsidRPr="00AE0CA6">
        <w:rPr>
          <w:vertAlign w:val="superscript"/>
        </w:rPr>
        <w:footnoteReference w:id="11"/>
      </w:r>
      <w:r>
        <w:t xml:space="preserve"> </w:t>
      </w:r>
      <w:r w:rsidRPr="00AE0CA6">
        <w:t xml:space="preserve">Teori dualistis berpandangan bahwa perlu adanya pemisahan anata tindak pidana </w:t>
      </w:r>
      <w:r w:rsidRPr="00AE0CA6">
        <w:rPr>
          <w:i/>
        </w:rPr>
        <w:t>(straffbaar feit)</w:t>
      </w:r>
      <w:r w:rsidRPr="00AE0CA6">
        <w:t xml:space="preserve"> dengan keasalahan </w:t>
      </w:r>
      <w:r w:rsidRPr="00AE0CA6">
        <w:rPr>
          <w:i/>
        </w:rPr>
        <w:t>(schuld)</w:t>
      </w:r>
      <w:r w:rsidRPr="00AE0CA6">
        <w:t xml:space="preserve"> karena hanya kesalahan </w:t>
      </w:r>
      <w:r w:rsidRPr="00AE0CA6">
        <w:rPr>
          <w:i/>
        </w:rPr>
        <w:t xml:space="preserve">(schuld) </w:t>
      </w:r>
      <w:r w:rsidRPr="00AE0CA6">
        <w:t>yang merupakan unsur pertanggungjawaban pidana.</w:t>
      </w:r>
      <w:r w:rsidRPr="00AE0CA6">
        <w:rPr>
          <w:vertAlign w:val="superscript"/>
        </w:rPr>
        <w:footnoteReference w:id="12"/>
      </w:r>
      <w:r w:rsidRPr="00AE0CA6">
        <w:t xml:space="preserve">Menurut teori dualistis tindak pidana hanyalah meliputi sifat-sifat dari perbuatan </w:t>
      </w:r>
      <w:r w:rsidRPr="00AE0CA6">
        <w:rPr>
          <w:i/>
        </w:rPr>
        <w:t>(actus reus)</w:t>
      </w:r>
      <w:r w:rsidRPr="00AE0CA6">
        <w:t xml:space="preserve"> saja, tetapi pertanggungjawaban pidana hanya bersangkut dengan sifat-sifat orang yang melakukan tindak pidana. Kesalahan </w:t>
      </w:r>
      <w:r w:rsidRPr="00AE0CA6">
        <w:rPr>
          <w:i/>
        </w:rPr>
        <w:t xml:space="preserve">(schuld) </w:t>
      </w:r>
      <w:r w:rsidRPr="00AE0CA6">
        <w:t xml:space="preserve">merupakan faktor penentu dari pertanggungjawaban pidana dan dipisahkan dengan tindak pidana, maka unsur kesengajaan sebagai unsur utama dari kesalahan </w:t>
      </w:r>
      <w:r w:rsidRPr="00AE0CA6">
        <w:rPr>
          <w:i/>
        </w:rPr>
        <w:t xml:space="preserve">(schuld) </w:t>
      </w:r>
      <w:r w:rsidRPr="00AE0CA6">
        <w:t>harus dikeluarkan dari pengertian tindak pidana.</w:t>
      </w:r>
      <w:r w:rsidRPr="00AE0CA6">
        <w:rPr>
          <w:vertAlign w:val="superscript"/>
        </w:rPr>
        <w:footnoteReference w:id="13"/>
      </w:r>
    </w:p>
    <w:p w:rsidR="00AE0CA6" w:rsidRPr="00AE0CA6" w:rsidRDefault="00AE0CA6" w:rsidP="00AE0CA6">
      <w:pPr>
        <w:spacing w:after="0" w:line="240" w:lineRule="auto"/>
        <w:ind w:firstLine="720"/>
      </w:pPr>
      <w:r w:rsidRPr="00AE0CA6">
        <w:t xml:space="preserve">Asas kesalahan terkait dengan asas tiada pertanggungjawaban pidana tampa sifat melawan hukum atau dikenal dengan istilah asas “tidak adanya sifat melawan hukum materil” atau asas </w:t>
      </w:r>
      <w:r w:rsidRPr="00AE0CA6">
        <w:rPr>
          <w:i/>
        </w:rPr>
        <w:t>AVAW (afwezigheids van alle materille wederrechtelijkheid)</w:t>
      </w:r>
      <w:r w:rsidRPr="00AE0CA6">
        <w:t xml:space="preserve"> yang berkaitan dengan doktrin atau ajaran sifat melawan hukum materil.</w:t>
      </w:r>
      <w:r w:rsidRPr="00AE0CA6">
        <w:rPr>
          <w:vertAlign w:val="superscript"/>
        </w:rPr>
        <w:footnoteReference w:id="14"/>
      </w:r>
      <w:r>
        <w:t xml:space="preserve"> </w:t>
      </w:r>
      <w:r w:rsidRPr="00AE0CA6">
        <w:t>Asas tersebut merupakan pasangan asas legalitas (Pasal 1 KUHP), sehingga jika unsur melawan hukum formil atau perbuatan secara hukum positif terbukti maka sipelaku tidak dapat dipidana atau dikenal dengan asas tiada pertanggungjawaban pidana tampa sifat melawan hukum.</w:t>
      </w:r>
      <w:r w:rsidRPr="00AE0CA6">
        <w:rPr>
          <w:vertAlign w:val="superscript"/>
        </w:rPr>
        <w:footnoteReference w:id="15"/>
      </w:r>
    </w:p>
    <w:p w:rsidR="00AE0CA6" w:rsidRPr="00AE0CA6" w:rsidRDefault="00AE0CA6" w:rsidP="00AE0CA6">
      <w:pPr>
        <w:spacing w:after="0" w:line="240" w:lineRule="auto"/>
        <w:ind w:firstLine="720"/>
      </w:pPr>
      <w:r w:rsidRPr="00AE0CA6">
        <w:t>Menurut Moeljatno, kesalahan adanya keadaan psikis yang tertentu pada orang yang melakukan perbuatan pidana dan adanya hubungan antara keadaan tersebut dengan perbuatan yang dilakukan yang sedemikian rupa, hingga orang tersebut dapat dicela karena melakukan perbuatan tadi,</w:t>
      </w:r>
      <w:r w:rsidRPr="00AE0CA6">
        <w:rPr>
          <w:vertAlign w:val="superscript"/>
        </w:rPr>
        <w:footnoteReference w:id="16"/>
      </w:r>
      <w:r w:rsidRPr="00AE0CA6">
        <w:t xml:space="preserve">dengan demikian untuk adanya kesalahan harus dipikirkan dua hal disamping melakukan perbuatan pidana, yaitu: </w:t>
      </w:r>
      <w:r w:rsidRPr="00AE0CA6">
        <w:rPr>
          <w:i/>
        </w:rPr>
        <w:t xml:space="preserve">Pertama, </w:t>
      </w:r>
      <w:r w:rsidRPr="00AE0CA6">
        <w:t xml:space="preserve">adanya keadaan psikis (bathin) yang tertentu, dan Kedua, adanya hubungan yang tertentu antara keadaan bathin tersebut dengan perbuatan yang dilakukan, </w:t>
      </w:r>
      <w:r w:rsidRPr="00AE0CA6">
        <w:lastRenderedPageBreak/>
        <w:t>hingga menimbulkan celaan tadi.</w:t>
      </w:r>
      <w:r w:rsidRPr="00AE0CA6">
        <w:rPr>
          <w:vertAlign w:val="superscript"/>
        </w:rPr>
        <w:footnoteReference w:id="17"/>
      </w:r>
      <w:r>
        <w:t xml:space="preserve"> </w:t>
      </w:r>
      <w:r w:rsidRPr="00AE0CA6">
        <w:t>Menurut Moeljatno untuk adanya kesalahan, harus memenuhi syarat-syarat sebagai berikut:</w:t>
      </w:r>
    </w:p>
    <w:p w:rsidR="00AE0CA6" w:rsidRPr="00AE0CA6" w:rsidRDefault="00AE0CA6" w:rsidP="00AE0CA6">
      <w:pPr>
        <w:numPr>
          <w:ilvl w:val="0"/>
          <w:numId w:val="9"/>
        </w:numPr>
        <w:spacing w:after="0" w:line="240" w:lineRule="auto"/>
        <w:ind w:left="567" w:right="0" w:hanging="283"/>
      </w:pPr>
      <w:r w:rsidRPr="00AE0CA6">
        <w:t>Melakukan perbuatan pidana atau sifat melawan hukum;</w:t>
      </w:r>
    </w:p>
    <w:p w:rsidR="00AE0CA6" w:rsidRPr="00AE0CA6" w:rsidRDefault="00AE0CA6" w:rsidP="00AE0CA6">
      <w:pPr>
        <w:numPr>
          <w:ilvl w:val="0"/>
          <w:numId w:val="9"/>
        </w:numPr>
        <w:spacing w:after="0" w:line="240" w:lineRule="auto"/>
        <w:ind w:left="567" w:right="0" w:hanging="283"/>
      </w:pPr>
      <w:r w:rsidRPr="00AE0CA6">
        <w:t>Di atas umur tertentu dan mampu bertanggungjawab;</w:t>
      </w:r>
    </w:p>
    <w:p w:rsidR="00AE0CA6" w:rsidRPr="00AE0CA6" w:rsidRDefault="00AE0CA6" w:rsidP="00AE0CA6">
      <w:pPr>
        <w:numPr>
          <w:ilvl w:val="0"/>
          <w:numId w:val="9"/>
        </w:numPr>
        <w:spacing w:after="0" w:line="240" w:lineRule="auto"/>
        <w:ind w:left="567" w:right="0" w:hanging="283"/>
      </w:pPr>
      <w:r w:rsidRPr="00AE0CA6">
        <w:t>Mempunyai suatu bentuk kesalahan yang berupa kesengajaan atau kealpaan; dan</w:t>
      </w:r>
    </w:p>
    <w:p w:rsidR="00AE0CA6" w:rsidRPr="00AE0CA6" w:rsidRDefault="00AE0CA6" w:rsidP="00AE0CA6">
      <w:pPr>
        <w:numPr>
          <w:ilvl w:val="0"/>
          <w:numId w:val="9"/>
        </w:numPr>
        <w:spacing w:after="0" w:line="240" w:lineRule="auto"/>
        <w:ind w:left="567" w:right="0" w:hanging="283"/>
      </w:pPr>
      <w:r w:rsidRPr="00AE0CA6">
        <w:t>Tidak adanya alasan pemaaf.</w:t>
      </w:r>
      <w:r w:rsidRPr="00AE0CA6">
        <w:rPr>
          <w:vertAlign w:val="superscript"/>
        </w:rPr>
        <w:footnoteReference w:id="18"/>
      </w:r>
    </w:p>
    <w:p w:rsidR="00AE0CA6" w:rsidRPr="00AE0CA6" w:rsidRDefault="00AE0CA6" w:rsidP="00AE0CA6">
      <w:pPr>
        <w:spacing w:after="0" w:line="240" w:lineRule="auto"/>
        <w:ind w:firstLine="720"/>
      </w:pPr>
    </w:p>
    <w:p w:rsidR="00AE0CA6" w:rsidRPr="00AE0CA6" w:rsidRDefault="00AE0CA6" w:rsidP="00AE0CA6">
      <w:pPr>
        <w:spacing w:after="0" w:line="240" w:lineRule="auto"/>
        <w:ind w:firstLine="720"/>
      </w:pPr>
      <w:r w:rsidRPr="00AE0CA6">
        <w:t xml:space="preserve">Pompe memberikan pandangan berkaitan dengan unsur kesalahan dalam pertanggung jawaban pidana  bahwa ada kesalahan jika perbuatan yang dilakukan oleh terdakwa </w:t>
      </w:r>
      <w:r w:rsidRPr="00AE0CA6">
        <w:rPr>
          <w:i/>
        </w:rPr>
        <w:t>verwijbaar</w:t>
      </w:r>
      <w:r w:rsidRPr="00AE0CA6">
        <w:t xml:space="preserve"> (dapat dicela) dan </w:t>
      </w:r>
      <w:r w:rsidRPr="00AE0CA6">
        <w:rPr>
          <w:i/>
        </w:rPr>
        <w:t>vermijdbaar</w:t>
      </w:r>
      <w:r w:rsidRPr="00AE0CA6">
        <w:t xml:space="preserve"> (dapat dihindari).</w:t>
      </w:r>
      <w:r w:rsidRPr="00AE0CA6">
        <w:rPr>
          <w:vertAlign w:val="superscript"/>
        </w:rPr>
        <w:footnoteReference w:id="19"/>
      </w:r>
      <w:r>
        <w:t xml:space="preserve"> </w:t>
      </w:r>
      <w:r w:rsidRPr="00AE0CA6">
        <w:t>Berkaitan dengan unsur kesalahan Mezger memberikan pandangannya berkaitan dengan unsur kesalahan dalam pertanggungjawaban pidana sebagai berikut kesalahan adalah adanya syarat-syarat yang mendasarkan celaan pribadi terhadap orang yang melakukan perbuatan.</w:t>
      </w:r>
      <w:r w:rsidRPr="00AE0CA6">
        <w:rPr>
          <w:vertAlign w:val="superscript"/>
        </w:rPr>
        <w:footnoteReference w:id="20"/>
      </w:r>
      <w:r w:rsidRPr="00AE0CA6">
        <w:t>Pemeparan para ahli hukum pidana di atas terkhusus Prof. Moeljatno menggunakan kesalahan berdasarkan teori kehendak merupakan arah, maksud atau tujuan perbuatannya.</w:t>
      </w:r>
    </w:p>
    <w:p w:rsidR="00AE0CA6" w:rsidRDefault="00AE0CA6" w:rsidP="00AE0CA6">
      <w:pPr>
        <w:spacing w:after="0" w:line="240" w:lineRule="auto"/>
        <w:ind w:firstLine="720"/>
      </w:pPr>
      <w:r w:rsidRPr="00AE0CA6">
        <w:t>Konsekuensinya ialah, bahwa untuk menentukan sesuatu perbuatan yang dikehendaki oleh terdakwa, maka (1) harus dibuktikan bahwa perbuatan itu sesuai dengan motifnya untuk berbuat dan bertujuan yang hendak dicapai; (2) antara motif, perbuatan dan tujuan harus ada hubungan kausal dalam batin terdakwa.</w:t>
      </w:r>
      <w:r w:rsidRPr="00AE0CA6">
        <w:rPr>
          <w:vertAlign w:val="superscript"/>
        </w:rPr>
        <w:footnoteReference w:id="21"/>
      </w:r>
      <w:r>
        <w:t xml:space="preserve"> </w:t>
      </w:r>
      <w:r w:rsidRPr="00AE0CA6">
        <w:t xml:space="preserve">Berbeda dengan pendapat para ahli sebelumnya Van Hamel memberikan pandangan tentang kelakuan seseorang yang dapat dijatuhi hukuman pidana atau termasuk dalam perbuatan pidana dalam tulisan Edi Setiadi dan Dian Andriasari yaitu, </w:t>
      </w:r>
      <w:r w:rsidRPr="00AE0CA6">
        <w:rPr>
          <w:i/>
        </w:rPr>
        <w:t xml:space="preserve">strafbaar feit </w:t>
      </w:r>
      <w:r w:rsidRPr="00AE0CA6">
        <w:t xml:space="preserve">adalah kelakuan orang yang </w:t>
      </w:r>
      <w:r w:rsidRPr="00AE0CA6">
        <w:rPr>
          <w:i/>
        </w:rPr>
        <w:t xml:space="preserve">(menselijke gegraging) </w:t>
      </w:r>
      <w:r w:rsidRPr="00AE0CA6">
        <w:t xml:space="preserve">yang dirumuskan dalam </w:t>
      </w:r>
      <w:r w:rsidRPr="00AE0CA6">
        <w:rPr>
          <w:i/>
        </w:rPr>
        <w:t>wet</w:t>
      </w:r>
      <w:r w:rsidRPr="00AE0CA6">
        <w:t xml:space="preserve">, yang bersifat melawan hukum, yang patut dipidana </w:t>
      </w:r>
      <w:r w:rsidRPr="00AE0CA6">
        <w:rPr>
          <w:i/>
        </w:rPr>
        <w:t xml:space="preserve">(strafwardig) </w:t>
      </w:r>
      <w:r w:rsidRPr="00AE0CA6">
        <w:t>dan dilakukan dengan kesalahan.</w:t>
      </w:r>
      <w:r w:rsidRPr="00AE0CA6">
        <w:rPr>
          <w:vertAlign w:val="superscript"/>
        </w:rPr>
        <w:footnoteReference w:id="22"/>
      </w:r>
      <w:r>
        <w:t xml:space="preserve"> </w:t>
      </w:r>
      <w:r w:rsidRPr="00AE0CA6">
        <w:t xml:space="preserve">Berdasarkan pandangan dari Moeljatno dapat disimpulkan bahwa dua unsur perbuatan pidana yaitu unsur formil yaitu perbuatan yang dilakukan seseorang tersebut melanggar peraturan perundang-undangan yang berlaku disuatu negara dan unsur materil adalah orang yang bersalah. Sedangkan Simons mendefinisikan </w:t>
      </w:r>
      <w:r w:rsidRPr="00AE0CA6">
        <w:rPr>
          <w:i/>
        </w:rPr>
        <w:t xml:space="preserve">straafbaar feit </w:t>
      </w:r>
      <w:r w:rsidRPr="00AE0CA6">
        <w:t>ialah perbuatan melawan hukum yang berkaitan dengan kesalahan seseorang yang mempu bertanggungjawab.</w:t>
      </w:r>
      <w:r w:rsidRPr="00AE0CA6">
        <w:rPr>
          <w:vertAlign w:val="superscript"/>
        </w:rPr>
        <w:footnoteReference w:id="23"/>
      </w:r>
      <w:r>
        <w:t xml:space="preserve"> </w:t>
      </w:r>
    </w:p>
    <w:p w:rsidR="00AE0CA6" w:rsidRPr="00AE0CA6" w:rsidRDefault="00AE0CA6" w:rsidP="00AE0CA6">
      <w:pPr>
        <w:spacing w:after="0" w:line="240" w:lineRule="auto"/>
        <w:ind w:firstLine="720"/>
      </w:pPr>
      <w:r w:rsidRPr="00AE0CA6">
        <w:t xml:space="preserve">Pompe dalam tulisan P.A.F Lamintang memberikan pandangan tentang  </w:t>
      </w:r>
      <w:r w:rsidRPr="00AE0CA6">
        <w:rPr>
          <w:i/>
        </w:rPr>
        <w:t xml:space="preserve">straafbaar feit </w:t>
      </w:r>
      <w:r w:rsidRPr="00AE0CA6">
        <w:t>sebagai berikut:</w:t>
      </w:r>
      <w:r>
        <w:t xml:space="preserve"> </w:t>
      </w:r>
      <w:r w:rsidRPr="00AE0CA6">
        <w:rPr>
          <w:i/>
        </w:rPr>
        <w:t xml:space="preserve">Straafbaar feit </w:t>
      </w:r>
      <w:r w:rsidRPr="00AE0CA6">
        <w:t xml:space="preserve">itu secara teoritis dapat dirumuskan sebagai suatu pelanggaran norma (gangguan terhadap norma hukum) yang dengan sengaja atau tidak dengan sengaja telah dilakuan seseorang pelaku, dimana penjatuhan hukuman terhadap para pelaku tersebut adalah perlu demi terpeliharanya tertib hukum dan terjaminya kepentingan umum atau sebagai </w:t>
      </w:r>
      <w:r w:rsidRPr="00AE0CA6">
        <w:rPr>
          <w:i/>
        </w:rPr>
        <w:t>“de normevertrending (vestoring der rechtsorde), waawaran de overtreder schuld heeft en waarvan de bestraffling diensntig is voor de handhaving der rechts orde ende behartiging van het algemenen welzijin”</w:t>
      </w:r>
      <w:r w:rsidRPr="00AE0CA6">
        <w:rPr>
          <w:i/>
          <w:vertAlign w:val="superscript"/>
        </w:rPr>
        <w:footnoteReference w:id="24"/>
      </w:r>
    </w:p>
    <w:p w:rsidR="00AE0CA6" w:rsidRPr="00AE0CA6" w:rsidRDefault="00AE0CA6" w:rsidP="00AE0CA6">
      <w:pPr>
        <w:spacing w:after="0" w:line="240" w:lineRule="auto"/>
        <w:ind w:firstLine="720"/>
      </w:pPr>
    </w:p>
    <w:p w:rsidR="00AE0CA6" w:rsidRPr="00AE0CA6" w:rsidRDefault="00AE0CA6" w:rsidP="00AE0CA6">
      <w:pPr>
        <w:spacing w:after="0" w:line="240" w:lineRule="auto"/>
        <w:ind w:firstLine="720"/>
      </w:pPr>
      <w:r w:rsidRPr="00AE0CA6">
        <w:t xml:space="preserve">Pendapat lain juga muncul dari Simons dalam tulisan Edi Setiadi dan Dian Andriasari dimana dapat dipaparkan </w:t>
      </w:r>
      <w:r w:rsidRPr="00AE0CA6">
        <w:rPr>
          <w:i/>
        </w:rPr>
        <w:t xml:space="preserve">Straaf baar feit </w:t>
      </w:r>
      <w:r w:rsidRPr="00AE0CA6">
        <w:t>ialah perbuatan melawan hukum yang berkaitan dengan kesalahan seseorang yang mampu bertanggung jawab.</w:t>
      </w:r>
      <w:r w:rsidRPr="00AE0CA6">
        <w:rPr>
          <w:vertAlign w:val="superscript"/>
        </w:rPr>
        <w:footnoteReference w:id="25"/>
      </w:r>
      <w:r w:rsidRPr="00AE0CA6">
        <w:t>Berdasarkan dari rumusan para ahli, maka dapat di tarik kesimpulan diantaranya:</w:t>
      </w:r>
    </w:p>
    <w:p w:rsidR="00AE0CA6" w:rsidRPr="00AE0CA6" w:rsidRDefault="00AE0CA6" w:rsidP="00AE0CA6">
      <w:pPr>
        <w:numPr>
          <w:ilvl w:val="0"/>
          <w:numId w:val="10"/>
        </w:numPr>
        <w:spacing w:after="0" w:line="240" w:lineRule="auto"/>
        <w:ind w:left="567" w:right="0" w:hanging="284"/>
      </w:pPr>
      <w:r w:rsidRPr="00AE0CA6">
        <w:t xml:space="preserve">Bahwa feit dalam </w:t>
      </w:r>
      <w:r w:rsidRPr="00AE0CA6">
        <w:rPr>
          <w:i/>
        </w:rPr>
        <w:t>straafbaarfeit</w:t>
      </w:r>
      <w:r w:rsidRPr="00AE0CA6">
        <w:t xml:space="preserve"> berarti hendeling, kelakuan atau tingkah laku;</w:t>
      </w:r>
    </w:p>
    <w:p w:rsidR="00AE0CA6" w:rsidRPr="00AE0CA6" w:rsidRDefault="00AE0CA6" w:rsidP="00AE0CA6">
      <w:pPr>
        <w:numPr>
          <w:ilvl w:val="0"/>
          <w:numId w:val="10"/>
        </w:numPr>
        <w:spacing w:after="0" w:line="240" w:lineRule="auto"/>
        <w:ind w:left="567" w:right="0" w:hanging="284"/>
        <w:rPr>
          <w:i/>
        </w:rPr>
      </w:pPr>
      <w:r w:rsidRPr="00AE0CA6">
        <w:t xml:space="preserve">Bahwa pengertian </w:t>
      </w:r>
      <w:r w:rsidRPr="00AE0CA6">
        <w:rPr>
          <w:i/>
        </w:rPr>
        <w:t xml:space="preserve">straafbaar feit </w:t>
      </w:r>
      <w:r w:rsidRPr="00AE0CA6">
        <w:t>dihubungkan dengan kesalahan orang yang mengadakan kelakuan tadi.</w:t>
      </w:r>
    </w:p>
    <w:p w:rsidR="00AE0CA6" w:rsidRPr="00AE0CA6" w:rsidRDefault="00AE0CA6" w:rsidP="00AE0CA6">
      <w:pPr>
        <w:pStyle w:val="NormalWeb"/>
        <w:shd w:val="clear" w:color="auto" w:fill="FFFFFF"/>
        <w:spacing w:before="0" w:beforeAutospacing="0" w:after="0" w:afterAutospacing="0"/>
        <w:ind w:firstLine="720"/>
        <w:jc w:val="both"/>
        <w:textAlignment w:val="baseline"/>
        <w:rPr>
          <w:sz w:val="22"/>
          <w:szCs w:val="22"/>
        </w:rPr>
      </w:pPr>
      <w:r w:rsidRPr="00AE0CA6">
        <w:rPr>
          <w:sz w:val="22"/>
          <w:szCs w:val="22"/>
        </w:rPr>
        <w:t xml:space="preserve">Seperti yang telah dikatakan di atas, bahwa pembentuk undang-undang kita tidak memberikan sesuatu penjelasan mengenai apa yang sebenarnya telah ia maksud dengan perkataan </w:t>
      </w:r>
      <w:r w:rsidRPr="00AE0CA6">
        <w:rPr>
          <w:i/>
          <w:sz w:val="22"/>
          <w:szCs w:val="22"/>
        </w:rPr>
        <w:t xml:space="preserve">straafbaar feit </w:t>
      </w:r>
      <w:r w:rsidRPr="00AE0CA6">
        <w:rPr>
          <w:sz w:val="22"/>
          <w:szCs w:val="22"/>
        </w:rPr>
        <w:t xml:space="preserve">maka timbullah di dalam doktrin berbagai pendapat tentang apa sebenarnya yang dimaksud dengan </w:t>
      </w:r>
      <w:r w:rsidRPr="00AE0CA6">
        <w:rPr>
          <w:i/>
          <w:sz w:val="22"/>
          <w:szCs w:val="22"/>
        </w:rPr>
        <w:t xml:space="preserve">straafbaar feit </w:t>
      </w:r>
      <w:r w:rsidRPr="00AE0CA6">
        <w:rPr>
          <w:sz w:val="22"/>
          <w:szCs w:val="22"/>
        </w:rPr>
        <w:t>tersebut.</w:t>
      </w:r>
      <w:r>
        <w:rPr>
          <w:sz w:val="22"/>
          <w:szCs w:val="22"/>
          <w:lang w:val="id-ID"/>
        </w:rPr>
        <w:t xml:space="preserve"> </w:t>
      </w:r>
      <w:r w:rsidRPr="00AE0CA6">
        <w:rPr>
          <w:sz w:val="22"/>
          <w:szCs w:val="22"/>
        </w:rPr>
        <w:t>Kekerasan seksual yang dilakukan oleh anak terhadap anak sering juga disebut dengan istilah </w:t>
      </w:r>
      <w:r w:rsidRPr="00AE0CA6">
        <w:rPr>
          <w:rStyle w:val="Emphasis"/>
          <w:sz w:val="22"/>
          <w:szCs w:val="22"/>
          <w:bdr w:val="none" w:sz="0" w:space="0" w:color="auto" w:frame="1"/>
        </w:rPr>
        <w:t>child on child sexual abuse</w:t>
      </w:r>
      <w:r w:rsidRPr="00AE0CA6">
        <w:rPr>
          <w:sz w:val="22"/>
          <w:szCs w:val="22"/>
        </w:rPr>
        <w:t>, atau </w:t>
      </w:r>
      <w:r w:rsidRPr="00AE0CA6">
        <w:rPr>
          <w:rStyle w:val="Emphasis"/>
          <w:sz w:val="22"/>
          <w:szCs w:val="22"/>
          <w:bdr w:val="none" w:sz="0" w:space="0" w:color="auto" w:frame="1"/>
        </w:rPr>
        <w:t>juvenile sex offender</w:t>
      </w:r>
      <w:r w:rsidRPr="00AE0CA6">
        <w:rPr>
          <w:sz w:val="22"/>
          <w:szCs w:val="22"/>
        </w:rPr>
        <w:t>. Kedua terminologi di atas sebenarnya memiliki kesamaan makna dimana anak seorang anak yang belum berusia 18 tahun melakukan kekerasan seksual kepada anak yang juga belum berusia 18 tahun. Bentuk kekerasan yang dilakukan anak-anak tidak didasarkan pada kesepakatan (</w:t>
      </w:r>
      <w:r w:rsidRPr="00AE0CA6">
        <w:rPr>
          <w:rStyle w:val="Emphasis"/>
          <w:sz w:val="22"/>
          <w:szCs w:val="22"/>
          <w:bdr w:val="none" w:sz="0" w:space="0" w:color="auto" w:frame="1"/>
        </w:rPr>
        <w:t>consensus</w:t>
      </w:r>
      <w:r w:rsidRPr="00AE0CA6">
        <w:rPr>
          <w:sz w:val="22"/>
          <w:szCs w:val="22"/>
        </w:rPr>
        <w:t>) antara anak dengan anak. Ketika ada kesepakatan maka perbuatan tersebut tidak masuk dalam kategori kekerasan seksual.</w:t>
      </w:r>
    </w:p>
    <w:p w:rsidR="00AE0CA6" w:rsidRPr="00AE0CA6" w:rsidRDefault="00AE0CA6" w:rsidP="00AE0CA6">
      <w:pPr>
        <w:pStyle w:val="NormalWeb"/>
        <w:shd w:val="clear" w:color="auto" w:fill="FFFFFF"/>
        <w:spacing w:before="0" w:beforeAutospacing="0" w:after="0" w:afterAutospacing="0"/>
        <w:ind w:firstLine="720"/>
        <w:jc w:val="both"/>
        <w:textAlignment w:val="baseline"/>
        <w:rPr>
          <w:sz w:val="22"/>
          <w:szCs w:val="22"/>
        </w:rPr>
      </w:pPr>
      <w:r w:rsidRPr="00AE0CA6">
        <w:rPr>
          <w:sz w:val="22"/>
          <w:szCs w:val="22"/>
        </w:rPr>
        <w:t>Dalam konteks hukum nasional sebagaimana diatur dalam Undang-undang No. 23 Tahun 2002 juncto Undang-undang No. 35 Tahun 2014 tentang Perlindungan Anak dan kemudian dikaitkan dengan Undang-undang No. 11 Tahun 2012 tentang Sistem Peradilan Pidana, maka undang-undang ini tidak membedakan tindak pidana yang dilakukan oleh anak atas dasar suka sama suka atau ada tidaknya unsur </w:t>
      </w:r>
      <w:r w:rsidRPr="00AE0CA6">
        <w:rPr>
          <w:rStyle w:val="Emphasis"/>
          <w:sz w:val="22"/>
          <w:szCs w:val="22"/>
          <w:bdr w:val="none" w:sz="0" w:space="0" w:color="auto" w:frame="1"/>
        </w:rPr>
        <w:t>abusive</w:t>
      </w:r>
      <w:r w:rsidRPr="00AE0CA6">
        <w:rPr>
          <w:sz w:val="22"/>
          <w:szCs w:val="22"/>
        </w:rPr>
        <w:t>. Namun acap kali, pelaku laki-laki yang dipidana, dengan asumsi yang keliru dari penegak hukum dalam memaknai </w:t>
      </w:r>
      <w:r w:rsidRPr="00AE0CA6">
        <w:rPr>
          <w:rStyle w:val="Emphasis"/>
          <w:sz w:val="22"/>
          <w:szCs w:val="22"/>
          <w:bdr w:val="none" w:sz="0" w:space="0" w:color="auto" w:frame="1"/>
        </w:rPr>
        <w:t>abusive</w:t>
      </w:r>
      <w:r w:rsidRPr="00AE0CA6">
        <w:rPr>
          <w:sz w:val="22"/>
          <w:szCs w:val="22"/>
        </w:rPr>
        <w:t>. Pasalnya, </w:t>
      </w:r>
      <w:r w:rsidRPr="00AE0CA6">
        <w:rPr>
          <w:rStyle w:val="Emphasis"/>
          <w:sz w:val="22"/>
          <w:szCs w:val="22"/>
          <w:bdr w:val="none" w:sz="0" w:space="0" w:color="auto" w:frame="1"/>
        </w:rPr>
        <w:t>abusive</w:t>
      </w:r>
      <w:r w:rsidRPr="00AE0CA6">
        <w:rPr>
          <w:sz w:val="22"/>
          <w:szCs w:val="22"/>
        </w:rPr>
        <w:t xml:space="preserve"> selalu dilekatkan pada diri anak </w:t>
      </w:r>
      <w:r w:rsidRPr="00AE0CA6">
        <w:rPr>
          <w:sz w:val="22"/>
          <w:szCs w:val="22"/>
        </w:rPr>
        <w:lastRenderedPageBreak/>
        <w:t>laki-laki, padahal teori-teori kriminologi yang dipaparkan di atas tidak pernah menjustifikasi jenis kelamin tertentu sebagai pelaku kekerasan. Unsur </w:t>
      </w:r>
      <w:r w:rsidRPr="00AE0CA6">
        <w:rPr>
          <w:rStyle w:val="Emphasis"/>
          <w:sz w:val="22"/>
          <w:szCs w:val="22"/>
          <w:bdr w:val="none" w:sz="0" w:space="0" w:color="auto" w:frame="1"/>
        </w:rPr>
        <w:t>abusive</w:t>
      </w:r>
      <w:r w:rsidRPr="00AE0CA6">
        <w:rPr>
          <w:sz w:val="22"/>
          <w:szCs w:val="22"/>
        </w:rPr>
        <w:t> dimulai dari tingkat yang paling rendah yaitu bujuk rayu, tipu muslihat, ancaman kekerasan dan kekerasan. Jika salah satu unsur di atas ada maka pelaku bisa dikategorikan telah memenuhi unsur </w:t>
      </w:r>
      <w:r w:rsidRPr="00AE0CA6">
        <w:rPr>
          <w:rStyle w:val="Emphasis"/>
          <w:sz w:val="22"/>
          <w:szCs w:val="22"/>
          <w:bdr w:val="none" w:sz="0" w:space="0" w:color="auto" w:frame="1"/>
        </w:rPr>
        <w:t>abusive</w:t>
      </w:r>
      <w:r w:rsidRPr="00AE0CA6">
        <w:rPr>
          <w:sz w:val="22"/>
          <w:szCs w:val="22"/>
        </w:rPr>
        <w:t>. Kemudian unsur-unsur tersebut bisa melekat pada siapa pun, baik laki-laki maupun perempuan, dan ketika salah satu  unsur terpenuhi maka, seseorang dapat dikategorikan telah melakukan kekerasan seksual dan dapat diminta pertanggungjawaban pidana.</w:t>
      </w:r>
    </w:p>
    <w:p w:rsidR="00AE0CA6" w:rsidRPr="00AE0CA6" w:rsidRDefault="00AE0CA6" w:rsidP="00AE0CA6">
      <w:pPr>
        <w:pStyle w:val="NormalWeb"/>
        <w:shd w:val="clear" w:color="auto" w:fill="FFFFFF"/>
        <w:spacing w:before="0" w:beforeAutospacing="0" w:after="0" w:afterAutospacing="0"/>
        <w:ind w:firstLine="720"/>
        <w:jc w:val="both"/>
        <w:textAlignment w:val="baseline"/>
        <w:rPr>
          <w:sz w:val="22"/>
          <w:szCs w:val="22"/>
        </w:rPr>
      </w:pPr>
      <w:r w:rsidRPr="00AE0CA6">
        <w:rPr>
          <w:sz w:val="22"/>
          <w:szCs w:val="22"/>
        </w:rPr>
        <w:t>Terhadap permasalahan mengenai mekanisme penegakan hukum terhadap Anak yang Berhadapan dengan Hukum (ABH) telah diatur dalam “Undang-Undang Nomor 11 Tahun 2012 tentang Sistem Peradilan Pidana Anak”. Aturan ini menjadi “kiblat hakim dalam memutus perkara ABH” . “Pasal 32 ayat (2)” berbunyi: “penahanan terhadap anak hanya dapat dilakukan dengan syarat sebagai berikut: a. Anak telah berumur 14 (empat belas) tahun atau lebih; dan b. Diduga melakukan tindak pidana dengan ancaman pidana penjara 7 (tujuh) tahun atau lebih”, kemudian di dalam “Pasal 69 ayat (2)” dikatakan bahwa, “anak yang belum berusia 14 (empat belas) tahun hanya dapat dikenakan tindakan”. Berdasarkan uraian Pasal tersebut, artinya “hukum menghendaki pemidanaan terhadap anak yang menjadi pelaku tindak pidana dalam kategori berat yang diancaman pidana lebih dari 7 tahun dan jika umur anak telah mencapai 14 (empat belas) tahun”. “Pasal 285 Kitab Undang-Undang Hukum Pidana” mengatur mengenai tindak pidana pemerkosaan menentukan bahwa, “Barang siapa dengan kekerasan memaksa seorang wanita bersetubuh dengan dia di luar perkawinan, diancam karena melakukan pemerkosaan dengan pidana penjara paling lama 12 (dua belas tahun)”. Bertolak pada ketentuan tersebut maka pelaku kejahatan kesusilaan, dalam hal ini tindak pidana pemerkosaan, diancaman pidana 12 (dua belas) tahun penjara bagi orang dewasa, namun jika pelaku adalah seorang anak, maka ancaman pidana hanya dikenakan setengahnya. Hal tersebut merupakan implementasi dari “Pasal 81 ayat (2) Undang-Undang Nomor 11 tahun 2012 tentang sistem peradilan pidana anak yang berbunyi, pidana penjara yang dapat dijatuhkan kepada anak paling lama ½ (satu perdua) dari maksimum ancaman pidana penjara bagi orang dewasa.</w:t>
      </w:r>
      <w:r w:rsidRPr="00AE0CA6">
        <w:rPr>
          <w:rStyle w:val="FootnoteReference"/>
          <w:sz w:val="22"/>
          <w:szCs w:val="22"/>
        </w:rPr>
        <w:footnoteReference w:id="26"/>
      </w:r>
    </w:p>
    <w:p w:rsidR="00AE0CA6" w:rsidRPr="00AE0CA6" w:rsidRDefault="00AE0CA6" w:rsidP="00AE0CA6">
      <w:pPr>
        <w:pStyle w:val="NormalWeb"/>
        <w:shd w:val="clear" w:color="auto" w:fill="FFFFFF"/>
        <w:spacing w:before="0" w:beforeAutospacing="0" w:after="0" w:afterAutospacing="0"/>
        <w:ind w:firstLine="720"/>
        <w:jc w:val="both"/>
        <w:textAlignment w:val="baseline"/>
        <w:rPr>
          <w:sz w:val="22"/>
          <w:szCs w:val="22"/>
        </w:rPr>
      </w:pPr>
      <w:r w:rsidRPr="00AE0CA6">
        <w:rPr>
          <w:sz w:val="22"/>
          <w:szCs w:val="22"/>
        </w:rPr>
        <w:t>Pada kenyataan penegakan hukumnya, masih banyak hakim dalam memutus perkara ABH tidak sesuai dengan yang diamanatkan oleh “Undang-Undang Nomor 11 tahun 2012 tentang sistem peradilan pidana anak”. “Putusan Nomor 27/Pid.susanak/2016/PN.MTR” menjadi salah satu contohnya, dimana hakim hanya menjatuhkan pidana terhadap terdakwa selama 6 bulan pemidanaan. Pelaku pemerkosaan adalah seorang anak terhadap anak lainnya yang menyebabkan korban mengalami cidera di bagian kepala dan kelamin korban. Secara yuridis, pelaku anak tersebut harus mendapatak pembinaan pada “Lembaga Pembinaan Khusus Anak (LPKA) selama 6 tahun”. Meningkatnya kasus kejahatan kesusilaan yang dilakukan oleh anak seharusnya menjadi pelajaran baik untuk masyarakat maupun aparat penegak hukum pada umumnya untuk lebih jeli dalam memilih kasus anak yang sekiranya memang layak untuk diterapkan diversi (non penal) dan mana yang harus ditempuh dengan jalur penal. Perangkat hukum harus terus dioptimalkan demi meminimalisir bahkan menghilangkan kasus kejahatan yang dilakukan oleh anak, terutama kejahatan kesusilaan dengan tetap memperhatikan dan menjunjung tinggi hak-hak anak selama dalam masa pemidanaan.</w:t>
      </w:r>
    </w:p>
    <w:p w:rsidR="00AE0CA6" w:rsidRPr="00AE0CA6" w:rsidRDefault="00AE0CA6" w:rsidP="00AE0CA6">
      <w:pPr>
        <w:pStyle w:val="NormalWeb"/>
        <w:shd w:val="clear" w:color="auto" w:fill="FFFFFF"/>
        <w:spacing w:before="0" w:beforeAutospacing="0" w:after="0" w:afterAutospacing="0"/>
        <w:ind w:firstLine="720"/>
        <w:jc w:val="both"/>
        <w:textAlignment w:val="baseline"/>
        <w:rPr>
          <w:sz w:val="22"/>
          <w:szCs w:val="22"/>
        </w:rPr>
      </w:pPr>
      <w:r w:rsidRPr="00AE0CA6">
        <w:rPr>
          <w:sz w:val="22"/>
          <w:szCs w:val="22"/>
        </w:rPr>
        <w:t>Pola pemidanaan dalam pengertian luas tidak hanya mencakup beberapa hal saja seperti sanksi beserta berat atau ringannya sanksi tersebut, melainkan merupakan sistem yang juga terintegrasi dengan rumusan sanksi dalam hukum pidana.13 Undang –Undang Nomor 11 Tahun 2012 memberikan rumusan sanksi baru bagi anak yang melakukan tindak pidana. Pola pemidanaan anak meliputi:</w:t>
      </w:r>
    </w:p>
    <w:p w:rsidR="00AE0CA6" w:rsidRPr="00AE0CA6" w:rsidRDefault="00AE0CA6" w:rsidP="00AE0CA6">
      <w:pPr>
        <w:pStyle w:val="NormalWeb"/>
        <w:numPr>
          <w:ilvl w:val="1"/>
          <w:numId w:val="12"/>
        </w:numPr>
        <w:shd w:val="clear" w:color="auto" w:fill="FFFFFF"/>
        <w:spacing w:before="0" w:beforeAutospacing="0" w:after="0" w:afterAutospacing="0"/>
        <w:ind w:left="567" w:hanging="283"/>
        <w:jc w:val="both"/>
        <w:textAlignment w:val="baseline"/>
        <w:rPr>
          <w:sz w:val="22"/>
          <w:szCs w:val="22"/>
        </w:rPr>
      </w:pPr>
      <w:r w:rsidRPr="00AE0CA6">
        <w:rPr>
          <w:sz w:val="22"/>
          <w:szCs w:val="22"/>
        </w:rPr>
        <w:t>Hukum pidana anak; Pidana mati diganti maksimum 15 tahun, Pidana perampasan kemerdekaan atau denda dengan pengurangan sepertiga dari maksimumnya, Pidana pencabutan hak tertentu dan pengumuman putusan hakim tidak diterapkan kepada anak belum dewasa, dan Tempat dan cara pelaksanaan pidana diatur dalam peraturan pelaksana”</w:t>
      </w:r>
    </w:p>
    <w:p w:rsidR="00AE0CA6" w:rsidRPr="00AE0CA6" w:rsidRDefault="00AE0CA6" w:rsidP="00AE0CA6">
      <w:pPr>
        <w:pStyle w:val="NormalWeb"/>
        <w:numPr>
          <w:ilvl w:val="1"/>
          <w:numId w:val="12"/>
        </w:numPr>
        <w:shd w:val="clear" w:color="auto" w:fill="FFFFFF"/>
        <w:spacing w:before="0" w:beforeAutospacing="0" w:after="0" w:afterAutospacing="0"/>
        <w:ind w:left="567" w:hanging="283"/>
        <w:jc w:val="both"/>
        <w:textAlignment w:val="baseline"/>
        <w:rPr>
          <w:sz w:val="22"/>
          <w:szCs w:val="22"/>
        </w:rPr>
      </w:pPr>
      <w:r w:rsidRPr="00AE0CA6">
        <w:rPr>
          <w:sz w:val="22"/>
          <w:szCs w:val="22"/>
        </w:rPr>
        <w:t>Hukuman pidana untuk anak tidak mengatur secara tegas, melainkan jenis pidana yang berlaku bagi orang dewasa berlaku juga untuk anak, hanya diperbedakan lamanya/jumlahnya dengan pengurangan sepertiga, sedagkan untuk pidana mati ditiadakan”.</w:t>
      </w:r>
    </w:p>
    <w:p w:rsidR="00F802FE" w:rsidRPr="00AE0CA6" w:rsidRDefault="00AE0CA6" w:rsidP="00AE0CA6">
      <w:pPr>
        <w:pStyle w:val="Heading2"/>
        <w:spacing w:line="240" w:lineRule="auto"/>
        <w:ind w:left="11" w:firstLine="709"/>
        <w:jc w:val="both"/>
        <w:rPr>
          <w:b w:val="0"/>
        </w:rPr>
      </w:pPr>
      <w:r w:rsidRPr="00AE0CA6">
        <w:rPr>
          <w:b w:val="0"/>
        </w:rPr>
        <w:t>Kasus anak yang mendapatkan perlakuan asusila yang melibatkan pelakunya adalah seorang anak bukan lagi hal yang baru. “Komisioner Komisi Perlindungan Anak Indonesia (KPAI) bidang ABH Putu Elvina mengatakan bahwa kasus ABH menyedot perhatian tertinggi di antara kasus-kasus yang menjadi sorotan KPAI karena angkanya yang terus meningkat setiap tahun”. Segala macam usaha telah dilakukan pemerintah maupun lembaga terkait untuk meminimalisir kasus kejahatan kesusilaan oleh anak, salah satunya adalah melakukan pendekatan diversi yaitu berusaha untuk menemukan alternatif lain selain pidana penjara bagi anak yang menjadi pelaku tindak pidana dengan menggunakan pedekatan restorative justice14. Pendekatan Diversi telah mensyaratkan sebagaimana terdapat dalam Pasal 7 ayat 2 UU no. 11 tahun 2012 tentang sistem peradilan pidana anak, syaratnya yaitu tindak pidana yang dilakukan diancam dengan pidana penjara di bawah 7 (tujuh) tahun dan bukan merupakan pengulangan tindak pidana.</w:t>
      </w:r>
      <w:r w:rsidR="00A77DBE" w:rsidRPr="00AE0CA6">
        <w:rPr>
          <w:b w:val="0"/>
        </w:rPr>
        <w:t xml:space="preserve"> </w:t>
      </w:r>
    </w:p>
    <w:p w:rsidR="006040C6" w:rsidRPr="006040C6" w:rsidRDefault="006040C6" w:rsidP="00AE0CA6">
      <w:pPr>
        <w:ind w:firstLine="0"/>
        <w:rPr>
          <w:b/>
        </w:rPr>
      </w:pPr>
      <w:r w:rsidRPr="00AE0CA6">
        <w:t>Urgensi pemisahan pemilu nasional dan pemilu local</w:t>
      </w:r>
    </w:p>
    <w:p w:rsidR="00F802FE" w:rsidRDefault="00F802FE">
      <w:pPr>
        <w:spacing w:after="0" w:line="259" w:lineRule="auto"/>
        <w:ind w:left="16" w:right="0" w:firstLine="0"/>
        <w:jc w:val="left"/>
      </w:pPr>
    </w:p>
    <w:p w:rsidR="00F802FE" w:rsidRDefault="00A77DBE">
      <w:pPr>
        <w:pStyle w:val="Heading2"/>
        <w:ind w:left="11"/>
      </w:pPr>
      <w:r>
        <w:lastRenderedPageBreak/>
        <w:t xml:space="preserve">SIMPULAN  </w:t>
      </w:r>
    </w:p>
    <w:p w:rsidR="00970694" w:rsidRDefault="00970694" w:rsidP="00970694">
      <w:pPr>
        <w:pStyle w:val="ListParagraph"/>
        <w:numPr>
          <w:ilvl w:val="0"/>
          <w:numId w:val="6"/>
        </w:numPr>
        <w:spacing w:line="240" w:lineRule="auto"/>
        <w:ind w:left="567" w:hanging="283"/>
        <w:rPr>
          <w:sz w:val="24"/>
          <w:szCs w:val="24"/>
        </w:rPr>
      </w:pPr>
      <w:r w:rsidRPr="00970694">
        <w:rPr>
          <w:sz w:val="24"/>
          <w:szCs w:val="24"/>
          <w:shd w:val="clear" w:color="auto" w:fill="FFFFFF"/>
        </w:rPr>
        <w:t xml:space="preserve">Dalam konteks hukum nasional sebagaimana diatur dalam Undang-undang No. 23 Tahun 2002 juncto Undang-undang No. 35 Tahun 2014 tentang Perlindungan Anak dan kemudian diikuti dengan Undang-undang No. 11 Tahun 2012 tentang Sistem Peradilan Pidana, maka undang- undang ini tidak  membedakan tindak pidana yang dilakukan oleh anak di atas dasar suka sama suka atau ada tidaknya unsur kekerasan.  Namun acap kali, pelaku laki-laki yang dipidana, dengan asumsi yang keliru dari penegak hukum dalam memaknai sewenang-wenang.  Pasalnya, kekerasan selalu dilekatkan pada diri anak laki-laki, padahal teori-teori kriminologi yang dipaparkan di atas tidak pernah menjustifikasi jenis kelamin tertentu sebagai pelaku kekerasan.  Tidak ada kekerasan dimulai dari tingkat yang paling rendah yaitu bujuk rayu, tipu muslihat, ancaman kekerasan dan kekerasan.  Jika salah satu hal di atas ada maka pelaku bisa memenuhi syarat memenuhi syarat.  Kemudian unsur-unsur tersebut bisa melekat pada siapa pun, baik laki-laki maupun perempuan, dan ketika salah satu unsur terpenuhi maka, seseorang dapat dikategorikan telah melakukan kekerasan seksual dan dapat dimintai pertanggungjawaban pidana.  </w:t>
      </w:r>
      <w:r w:rsidRPr="00970694">
        <w:rPr>
          <w:sz w:val="24"/>
          <w:szCs w:val="24"/>
        </w:rPr>
        <w:t>Pertanggungjawaban pidana anak sebagai pelaku tindak pidana kekerasan seksual pada anak tidak hanya diatur dalam Kitab Undang-Undang Hukum Pidana saja tetapi juga diatur dalam peraturan yang lebih khusus yaitu diatur dalam Undang-Undang Nomor 35 tahun 2014 tentang Perlindungan Anak pada Pasal 81 dan 82 yang menyebutkan bahwa: hukuman bagi pelaku kejahatan seksual terhadap anak minimal 5 tahun dan maksimal 15 tahun penjara serta denda minimal maksimal sebesar Rp. 5.000.000.000,00 (lima miliar rupiah, sedangkan hukuman lainnya menurut KUHP pasal 287 dan 292 menyebutkan bahwa masa hukuman terhadap pelaku pencabulan terhadap anak maksimal 9 tahun (pasal 287) dan maksimal 5 tahun (pasal 292) hal ini menunjukan bahwa 53 undang-undang perlindungan anak sebagai lex specialis memberikan ancaman yang lebih besar dibanding dengan yang diatur dalam KUHP. Berikutnya dalam Undang-Undang No. 23 Tahun 2002 tentang Perlindungan Anak sebagaimana yang telah diubah dengan Undang-Undang Nomor 35 Tahun 2014 tentang Perubahan Atas UndangUndang Nomor 23 Tahun 2002 tentang Perlindungan Anak juga memberikan perlindungan bagi anak yang diatur. Undang-undang ini berfungsi untuk pemberian perlindungan khusus bagi hakhak anak dari berbagai macam kekerasan dalam hal ini tindak kekerasan seksual. Secara tegas dalam Pasal 15 UndangUndang Nomor 35 Tahun 2014 tentang Perubahan Atas Undang-Undang Nomor 23 Tahun 2002 tentang Perlindungan Anak menyebutkan bahwa: “Setiap Anak berhak untuk memperoleh perlindungan” dari penyalahgunaan dalam kegiatan politik, Pelibatan dalam sengketa bersenjata, pelibatan dalam kerusuhan sosial, pelibatan dalam peristiwa yang mengandung unsur kekerasan, pelibatan dalam peperangan dan kejahatan seksual.</w:t>
      </w:r>
    </w:p>
    <w:p w:rsidR="00970694" w:rsidRPr="00970694" w:rsidRDefault="00970694" w:rsidP="00970694">
      <w:pPr>
        <w:pStyle w:val="ListParagraph"/>
        <w:numPr>
          <w:ilvl w:val="0"/>
          <w:numId w:val="6"/>
        </w:numPr>
        <w:spacing w:line="240" w:lineRule="auto"/>
        <w:ind w:left="567" w:hanging="283"/>
        <w:rPr>
          <w:sz w:val="24"/>
          <w:szCs w:val="24"/>
        </w:rPr>
      </w:pPr>
      <w:r w:rsidRPr="00970694">
        <w:rPr>
          <w:sz w:val="24"/>
          <w:szCs w:val="24"/>
        </w:rPr>
        <w:t>Penerapan pertanggungjawaban pidana anak sebagai pelaku tindak pidana kekerasan seksual, pada hukum menghendaki pemidanaan terhadap anak yang menjadi pelaku tindak pidana dalam kategori berat yang diancaman pidana lebih dari 7 tahun dan jika umur anak telah mencapai 14 (empat belas) tahun”. “Pasal 285 Kitab Undang-Undang Hukum Pidana” mengatur mengenai tindak pidana pemerkosaan menentukan bahwa, “Barang siapa dengan kekerasan memaksa seorang wanita bersetubuh dengan dia di luar perkawinan, diancam karena melakukan pemerkosaan dengan pidana penjara paling lama 12 (dua belas tahun)”. Bertolak pada ketentuan tersebut maka pelaku kejahatan kesusilaan, dalam hal ini tindak pidana pemerkosaan, diancaman pidana 12 (dua belas) tahun penjara bagi orang dewasa, namun jika pelaku adalah seorang anak, maka ancaman pidana hanya dikenakan setengahnya. Hal tersebut merupakan implementasi dari “Pasal 81 ayat (2) Undang-Undang Nomor 11 tahun 2012 tentang sistem peradilan pidana anak yang berbunyi, pidana penjara yang dapat dijatuhkan kepada anak paling lama ½ (satu perdua) dari maksimum ancaman pidana penjara bagi orang dewasa</w:t>
      </w:r>
    </w:p>
    <w:p w:rsidR="00F802FE" w:rsidRDefault="00F802FE" w:rsidP="00970694">
      <w:pPr>
        <w:ind w:left="285" w:right="49" w:firstLine="0"/>
      </w:pPr>
    </w:p>
    <w:p w:rsidR="00F47738" w:rsidRDefault="00A77DBE">
      <w:pPr>
        <w:pStyle w:val="Heading2"/>
        <w:ind w:left="11"/>
      </w:pPr>
      <w:r>
        <w:t xml:space="preserve">DAFTAR PUSTAKA </w:t>
      </w:r>
    </w:p>
    <w:p w:rsidR="00F802FE" w:rsidRDefault="00A77DBE">
      <w:pPr>
        <w:pStyle w:val="Heading2"/>
        <w:ind w:left="11"/>
      </w:pPr>
      <w:r>
        <w:t xml:space="preserve">Buku  </w:t>
      </w:r>
    </w:p>
    <w:p w:rsidR="00F47738" w:rsidRPr="00970694" w:rsidRDefault="00A77DBE" w:rsidP="00970694">
      <w:pPr>
        <w:ind w:left="570" w:right="47" w:hanging="569"/>
      </w:pPr>
      <w:r w:rsidRPr="00970694">
        <w:t>Anonim,</w:t>
      </w:r>
      <w:r w:rsidRPr="00970694">
        <w:rPr>
          <w:i/>
        </w:rPr>
        <w:t xml:space="preserve"> Kumpulan Undang-Undang Pemilihan Umum, </w:t>
      </w:r>
      <w:r w:rsidRPr="00970694">
        <w:t xml:space="preserve">(Sekretariat Jendral Kepaniteraan Mahkama Konstitusi  </w:t>
      </w:r>
    </w:p>
    <w:p w:rsidR="00F802FE" w:rsidRPr="00970694" w:rsidRDefault="00A77DBE" w:rsidP="00970694">
      <w:pPr>
        <w:ind w:left="570" w:right="47" w:hanging="569"/>
      </w:pPr>
      <w:r w:rsidRPr="00970694">
        <w:t xml:space="preserve">Philipus M Hadjon dan Tatiek Sri Djatmiati, </w:t>
      </w:r>
      <w:r w:rsidRPr="00970694">
        <w:rPr>
          <w:i/>
        </w:rPr>
        <w:t xml:space="preserve">Argumen Hukum, </w:t>
      </w:r>
      <w:r w:rsidRPr="00970694">
        <w:t xml:space="preserve">Surabaya, Gadjah Mada University Press, Cetakan Ke 7, 2016 </w:t>
      </w:r>
    </w:p>
    <w:p w:rsidR="00970694" w:rsidRPr="00970694" w:rsidRDefault="00A77DBE" w:rsidP="00970694">
      <w:pPr>
        <w:ind w:left="570" w:right="47" w:hanging="569"/>
      </w:pPr>
      <w:r w:rsidRPr="00970694">
        <w:t xml:space="preserve">Johnny Ibrahim, </w:t>
      </w:r>
      <w:r w:rsidRPr="00970694">
        <w:rPr>
          <w:i/>
        </w:rPr>
        <w:t>Teori dan Metodologi Penelitian Hukum Normatif</w:t>
      </w:r>
      <w:r w:rsidRPr="00970694">
        <w:t xml:space="preserve">,  Malang, Banyumedia, 2010 Peter Mahmud Marzuki, </w:t>
      </w:r>
      <w:r w:rsidRPr="00970694">
        <w:rPr>
          <w:i/>
        </w:rPr>
        <w:t>Penelitian hukum, Edisi Revisi</w:t>
      </w:r>
      <w:r w:rsidRPr="00970694">
        <w:t xml:space="preserve">, Jakarta, Kencana, 2005. </w:t>
      </w:r>
    </w:p>
    <w:p w:rsidR="00970694" w:rsidRPr="00970694" w:rsidRDefault="00970694" w:rsidP="00970694">
      <w:pPr>
        <w:ind w:left="570" w:right="47" w:hanging="569"/>
      </w:pPr>
      <w:r w:rsidRPr="00970694">
        <w:t xml:space="preserve">Philipus M Hadjon dan Tatiek Sri Djatmiati, </w:t>
      </w:r>
      <w:r w:rsidRPr="00970694">
        <w:rPr>
          <w:i/>
        </w:rPr>
        <w:t xml:space="preserve">Argumen Hukum, </w:t>
      </w:r>
      <w:r w:rsidRPr="00970694">
        <w:t>Surabaya, Gadjah Mada University Press, Cetakan Ke 7, 2016.</w:t>
      </w:r>
    </w:p>
    <w:p w:rsidR="00970694" w:rsidRPr="00970694" w:rsidRDefault="00970694" w:rsidP="00970694">
      <w:pPr>
        <w:ind w:left="570" w:right="47" w:hanging="569"/>
      </w:pPr>
      <w:r w:rsidRPr="00970694">
        <w:lastRenderedPageBreak/>
        <w:t xml:space="preserve">Johnny Ibrahim, </w:t>
      </w:r>
      <w:r w:rsidRPr="00970694">
        <w:rPr>
          <w:i/>
        </w:rPr>
        <w:t>Teori dan Metodologi Penelitian Hukum Normatif</w:t>
      </w:r>
      <w:r w:rsidRPr="00970694">
        <w:t>,  Malang, Banyumedia, 2010.</w:t>
      </w:r>
    </w:p>
    <w:p w:rsidR="00970694" w:rsidRPr="00970694" w:rsidRDefault="00970694" w:rsidP="00970694">
      <w:pPr>
        <w:ind w:left="570" w:right="47" w:hanging="569"/>
      </w:pPr>
      <w:r w:rsidRPr="00970694">
        <w:t xml:space="preserve">Peter Mahmud Marzuki, </w:t>
      </w:r>
      <w:r w:rsidRPr="00970694">
        <w:rPr>
          <w:i/>
        </w:rPr>
        <w:t>Penelitian hukum, Edisi Revisi</w:t>
      </w:r>
      <w:r w:rsidRPr="00970694">
        <w:t>, Jakarta, Kencana, 2005,.</w:t>
      </w:r>
    </w:p>
    <w:p w:rsidR="00970694" w:rsidRPr="00970694" w:rsidRDefault="00970694" w:rsidP="00970694">
      <w:pPr>
        <w:ind w:left="570" w:right="47" w:hanging="569"/>
      </w:pPr>
      <w:r w:rsidRPr="00970694">
        <w:t>Waty Suwarty Haryono, Perlindungan Hukum Bagi Anak Sebagai Pelaku Tindak Pidana Kejahatan Perkosaan, Jurnal LEX Certa Vol. 1 No. 1 2016.</w:t>
      </w:r>
    </w:p>
    <w:p w:rsidR="00970694" w:rsidRPr="00970694" w:rsidRDefault="00970694" w:rsidP="00970694">
      <w:pPr>
        <w:ind w:left="570" w:right="47" w:hanging="569"/>
      </w:pPr>
      <w:r w:rsidRPr="00970694">
        <w:t>Kartini Kartono, Patologi Sosial II (Kenakalan Remaja), Jakarta: CV. Rajawali,1992.</w:t>
      </w:r>
    </w:p>
    <w:p w:rsidR="00970694" w:rsidRPr="00970694" w:rsidRDefault="00970694" w:rsidP="00970694">
      <w:pPr>
        <w:ind w:left="570" w:right="47" w:hanging="569"/>
      </w:pPr>
      <w:r w:rsidRPr="00970694">
        <w:t>P.A.F. Lamintang dan Theo Lamintang, Hukum Penitersier Indonesia, Jakarta : Sinar Grafika, 2010.</w:t>
      </w:r>
    </w:p>
    <w:p w:rsidR="00970694" w:rsidRPr="00970694" w:rsidRDefault="00970694" w:rsidP="00970694">
      <w:pPr>
        <w:ind w:left="570" w:right="47" w:hanging="569"/>
      </w:pPr>
      <w:r w:rsidRPr="00970694">
        <w:t xml:space="preserve">Agus Rusianto,  </w:t>
      </w:r>
      <w:r w:rsidRPr="00970694">
        <w:rPr>
          <w:i/>
        </w:rPr>
        <w:t>Tindak Pidana Dan Pertanggungjawaban Pidana (Tinjauan Kritis Melalui Konsistensi Anata Asas, Teori, Dan Penerapannya,</w:t>
      </w:r>
      <w:r w:rsidRPr="00970694">
        <w:t xml:space="preserve"> Pranamedia Group, Jakarta, 2016.</w:t>
      </w:r>
    </w:p>
    <w:p w:rsidR="00970694" w:rsidRPr="00970694" w:rsidRDefault="00970694" w:rsidP="00970694">
      <w:pPr>
        <w:ind w:left="570" w:right="47" w:hanging="569"/>
        <w:rPr>
          <w:iCs/>
        </w:rPr>
      </w:pPr>
      <w:r w:rsidRPr="00970694">
        <w:rPr>
          <w:iCs/>
        </w:rPr>
        <w:t>Moeljatno</w:t>
      </w:r>
      <w:r w:rsidRPr="00970694">
        <w:rPr>
          <w:i/>
          <w:iCs/>
        </w:rPr>
        <w:t>,  Asas-Asas Hukum Pidana, Cetakan Kedua,</w:t>
      </w:r>
      <w:r w:rsidRPr="00970694">
        <w:rPr>
          <w:iCs/>
        </w:rPr>
        <w:t xml:space="preserve"> Bina Aksara</w:t>
      </w:r>
      <w:r w:rsidRPr="00970694">
        <w:rPr>
          <w:i/>
          <w:iCs/>
        </w:rPr>
        <w:t>,</w:t>
      </w:r>
      <w:r w:rsidRPr="00970694">
        <w:rPr>
          <w:iCs/>
        </w:rPr>
        <w:t xml:space="preserve"> Jakarta, 1994.</w:t>
      </w:r>
    </w:p>
    <w:p w:rsidR="00970694" w:rsidRPr="00970694" w:rsidRDefault="00970694" w:rsidP="00970694">
      <w:pPr>
        <w:ind w:left="570" w:right="47" w:hanging="569"/>
      </w:pPr>
      <w:r w:rsidRPr="00970694">
        <w:t xml:space="preserve">P.A.F. Lamintang,  </w:t>
      </w:r>
      <w:r w:rsidRPr="00970694">
        <w:rPr>
          <w:i/>
        </w:rPr>
        <w:t>Dasar-Dasar Hukum Pidana Indonesia,</w:t>
      </w:r>
      <w:r w:rsidRPr="00970694">
        <w:t xml:space="preserve"> PT. Citra Aditya Bakti, Bandung, 1996.</w:t>
      </w:r>
    </w:p>
    <w:p w:rsidR="00970694" w:rsidRPr="009C43A1" w:rsidRDefault="00970694" w:rsidP="00970694">
      <w:pPr>
        <w:ind w:left="570" w:right="47" w:hanging="569"/>
      </w:pPr>
      <w:r w:rsidRPr="00970694">
        <w:t xml:space="preserve">Ana Rahmatyar dan Joko Setiyono, “Pertanggungjawaban Pidana Anak Sebagai Pelaku Kejahatan Kesusilaan Terhadap Anak”, </w:t>
      </w:r>
      <w:r w:rsidRPr="00970694">
        <w:rPr>
          <w:i/>
        </w:rPr>
        <w:t>Jurnal Supremasi Hukum</w:t>
      </w:r>
      <w:r w:rsidRPr="00970694">
        <w:t xml:space="preserve"> Vol. 29 No. 2 2020.</w:t>
      </w:r>
    </w:p>
    <w:p w:rsidR="00F802FE" w:rsidRDefault="00F802FE">
      <w:pPr>
        <w:spacing w:after="0" w:line="259" w:lineRule="auto"/>
        <w:ind w:left="16" w:right="0" w:firstLine="0"/>
        <w:jc w:val="left"/>
      </w:pPr>
    </w:p>
    <w:sectPr w:rsidR="00F802FE">
      <w:headerReference w:type="even" r:id="rId7"/>
      <w:headerReference w:type="default" r:id="rId8"/>
      <w:footerReference w:type="even" r:id="rId9"/>
      <w:footerReference w:type="default" r:id="rId10"/>
      <w:headerReference w:type="first" r:id="rId11"/>
      <w:footerReference w:type="first" r:id="rId12"/>
      <w:pgSz w:w="11908" w:h="16840"/>
      <w:pgMar w:top="719" w:right="667" w:bottom="709" w:left="704" w:header="720" w:footer="720" w:gutter="0"/>
      <w:pgNumType w:start="18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7F9" w:rsidRDefault="003957F9">
      <w:pPr>
        <w:spacing w:after="0" w:line="240" w:lineRule="auto"/>
      </w:pPr>
      <w:r>
        <w:separator/>
      </w:r>
    </w:p>
  </w:endnote>
  <w:endnote w:type="continuationSeparator" w:id="0">
    <w:p w:rsidR="003957F9" w:rsidRDefault="00395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A77DBE">
    <w:pPr>
      <w:spacing w:after="0" w:line="259" w:lineRule="auto"/>
      <w:ind w:right="48" w:firstLine="0"/>
      <w:jc w:val="right"/>
    </w:pPr>
    <w:r>
      <w:fldChar w:fldCharType="begin"/>
    </w:r>
    <w:r>
      <w:instrText xml:space="preserve"> PAGE   \* MERGEFORMAT </w:instrText>
    </w:r>
    <w:r>
      <w:fldChar w:fldCharType="separate"/>
    </w:r>
    <w:r>
      <w:t>188</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0" w:line="259" w:lineRule="auto"/>
      <w:ind w:right="48" w:firstLine="0"/>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160" w:line="259" w:lineRule="auto"/>
      <w:ind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7F9" w:rsidRDefault="003957F9">
      <w:pPr>
        <w:spacing w:after="0" w:line="242" w:lineRule="auto"/>
        <w:ind w:left="16" w:right="0" w:firstLine="569"/>
      </w:pPr>
      <w:r>
        <w:separator/>
      </w:r>
    </w:p>
  </w:footnote>
  <w:footnote w:type="continuationSeparator" w:id="0">
    <w:p w:rsidR="003957F9" w:rsidRDefault="003957F9">
      <w:pPr>
        <w:spacing w:after="0" w:line="242" w:lineRule="auto"/>
        <w:ind w:left="16" w:right="0" w:firstLine="569"/>
      </w:pPr>
      <w:r>
        <w:continuationSeparator/>
      </w:r>
    </w:p>
  </w:footnote>
  <w:footnote w:id="1">
    <w:p w:rsidR="00F802FE" w:rsidRDefault="00A77DBE">
      <w:pPr>
        <w:pStyle w:val="footnotedescription"/>
        <w:spacing w:line="250" w:lineRule="auto"/>
        <w:ind w:firstLine="569"/>
        <w:jc w:val="both"/>
      </w:pPr>
      <w:r>
        <w:rPr>
          <w:rStyle w:val="footnotemark"/>
        </w:rPr>
        <w:footnoteRef/>
      </w:r>
      <w:r>
        <w:t xml:space="preserve"> Philipus M Hadjon dan Tatiek Sri Djatmiati, </w:t>
      </w:r>
      <w:r>
        <w:rPr>
          <w:i/>
        </w:rPr>
        <w:t xml:space="preserve">Argumen Hukum, </w:t>
      </w:r>
      <w:r>
        <w:t xml:space="preserve">Surabaya, Gadjah Mada University Press, Cetakan Ke 7, 2016, hlm 3. </w:t>
      </w:r>
    </w:p>
  </w:footnote>
  <w:footnote w:id="2">
    <w:p w:rsidR="00F802FE" w:rsidRDefault="00A77DBE">
      <w:pPr>
        <w:pStyle w:val="footnotedescription"/>
        <w:spacing w:after="2" w:line="248" w:lineRule="auto"/>
        <w:ind w:left="585" w:right="1162"/>
      </w:pPr>
      <w:r>
        <w:rPr>
          <w:rStyle w:val="footnotemark"/>
        </w:rPr>
        <w:footnoteRef/>
      </w:r>
      <w:r>
        <w:t xml:space="preserve"> Johnny Ibrahim, </w:t>
      </w:r>
      <w:r>
        <w:rPr>
          <w:i/>
        </w:rPr>
        <w:t>Teori dan Metodologi Penelitian Hukum Normatif</w:t>
      </w:r>
      <w:r>
        <w:t xml:space="preserve">,  Malang, Banyumedia, 2010, hlm 93 </w:t>
      </w:r>
      <w:r>
        <w:rPr>
          <w:vertAlign w:val="superscript"/>
        </w:rPr>
        <w:t>16</w:t>
      </w:r>
      <w:r>
        <w:t xml:space="preserve"> Peter Mahmud Marzuki, </w:t>
      </w:r>
      <w:r>
        <w:rPr>
          <w:i/>
        </w:rPr>
        <w:t>Penelitian hukum, Edisi Revisi</w:t>
      </w:r>
      <w:r>
        <w:t xml:space="preserve">, Jakarta, Kencana, 2005, hlm 136. </w:t>
      </w:r>
    </w:p>
  </w:footnote>
  <w:footnote w:id="3">
    <w:p w:rsidR="00F802FE" w:rsidRDefault="00A77DBE">
      <w:pPr>
        <w:pStyle w:val="footnotedescription"/>
        <w:ind w:left="585"/>
      </w:pPr>
      <w:r>
        <w:rPr>
          <w:rStyle w:val="footnotemark"/>
        </w:rPr>
        <w:footnoteRef/>
      </w:r>
      <w:r>
        <w:t xml:space="preserve"> </w:t>
      </w:r>
      <w:r>
        <w:rPr>
          <w:i/>
        </w:rPr>
        <w:t>Ibid</w:t>
      </w:r>
      <w:r>
        <w:t xml:space="preserve">, hlm 177. </w:t>
      </w:r>
    </w:p>
  </w:footnote>
  <w:footnote w:id="4">
    <w:p w:rsidR="00970694" w:rsidRDefault="00970694" w:rsidP="00970694">
      <w:pPr>
        <w:pStyle w:val="FootnoteText"/>
        <w:ind w:firstLine="567"/>
        <w:jc w:val="both"/>
      </w:pPr>
      <w:r>
        <w:rPr>
          <w:rStyle w:val="FootnoteReference"/>
        </w:rPr>
        <w:footnoteRef/>
      </w:r>
      <w:r>
        <w:t xml:space="preserve"> </w:t>
      </w:r>
      <w:r w:rsidRPr="00033412">
        <w:rPr>
          <w:rFonts w:ascii="Times New Roman" w:hAnsi="Times New Roman" w:cs="Times New Roman"/>
        </w:rPr>
        <w:t>Waty Suwarty Haryono</w:t>
      </w:r>
      <w:r>
        <w:rPr>
          <w:rFonts w:ascii="Times New Roman" w:hAnsi="Times New Roman" w:cs="Times New Roman"/>
        </w:rPr>
        <w:t xml:space="preserve">, </w:t>
      </w:r>
      <w:r w:rsidRPr="00033412">
        <w:rPr>
          <w:rFonts w:ascii="Times New Roman" w:hAnsi="Times New Roman" w:cs="Times New Roman"/>
        </w:rPr>
        <w:t>Perlindungan Hukum Bagi Anak Sebagai Pelaku Tindak Pidana Kejahatan Perkosaan</w:t>
      </w:r>
      <w:r>
        <w:rPr>
          <w:rFonts w:ascii="Times New Roman" w:hAnsi="Times New Roman" w:cs="Times New Roman"/>
        </w:rPr>
        <w:t xml:space="preserve">, </w:t>
      </w:r>
      <w:r w:rsidRPr="00033412">
        <w:rPr>
          <w:rFonts w:ascii="Times New Roman" w:hAnsi="Times New Roman" w:cs="Times New Roman"/>
        </w:rPr>
        <w:t>Jurnal LEX Certa Vol. 1 No. 1 2016</w:t>
      </w:r>
      <w:r>
        <w:rPr>
          <w:rFonts w:ascii="Times New Roman" w:hAnsi="Times New Roman" w:cs="Times New Roman"/>
        </w:rPr>
        <w:t>, hlm 5</w:t>
      </w:r>
      <w:r>
        <w:t xml:space="preserve"> </w:t>
      </w:r>
    </w:p>
  </w:footnote>
  <w:footnote w:id="5">
    <w:p w:rsidR="00970694" w:rsidRPr="00033412" w:rsidRDefault="00970694" w:rsidP="00970694">
      <w:pPr>
        <w:pStyle w:val="FootnoteText"/>
        <w:ind w:firstLine="567"/>
        <w:jc w:val="both"/>
        <w:rPr>
          <w:rFonts w:ascii="Times New Roman" w:hAnsi="Times New Roman" w:cs="Times New Roman"/>
        </w:rPr>
      </w:pPr>
      <w:r w:rsidRPr="00033412">
        <w:rPr>
          <w:rStyle w:val="FootnoteReference"/>
        </w:rPr>
        <w:footnoteRef/>
      </w:r>
      <w:r w:rsidRPr="00033412">
        <w:rPr>
          <w:rFonts w:ascii="Times New Roman" w:hAnsi="Times New Roman" w:cs="Times New Roman"/>
        </w:rPr>
        <w:t xml:space="preserve"> Kartini Kartono, Patologi Sosial II (Kenakalan Remaja), Jakarta: CV. Rajawali,1992, hlm. 8</w:t>
      </w:r>
    </w:p>
  </w:footnote>
  <w:footnote w:id="6">
    <w:p w:rsidR="00970694" w:rsidRDefault="00970694" w:rsidP="00970694">
      <w:pPr>
        <w:pStyle w:val="FootnoteText"/>
        <w:ind w:firstLine="567"/>
        <w:jc w:val="both"/>
      </w:pPr>
      <w:r>
        <w:rPr>
          <w:rStyle w:val="FootnoteReference"/>
        </w:rPr>
        <w:footnoteRef/>
      </w:r>
      <w:r>
        <w:t xml:space="preserve"> </w:t>
      </w:r>
      <w:r w:rsidRPr="00033412">
        <w:rPr>
          <w:rFonts w:ascii="Times New Roman" w:hAnsi="Times New Roman" w:cs="Times New Roman"/>
          <w:i/>
        </w:rPr>
        <w:t>Ibid</w:t>
      </w:r>
    </w:p>
  </w:footnote>
  <w:footnote w:id="7">
    <w:p w:rsidR="00970694" w:rsidRPr="00033412" w:rsidRDefault="00970694" w:rsidP="00970694">
      <w:pPr>
        <w:pStyle w:val="FootnoteText"/>
        <w:ind w:firstLine="567"/>
        <w:jc w:val="both"/>
        <w:rPr>
          <w:rFonts w:ascii="Times New Roman" w:hAnsi="Times New Roman" w:cs="Times New Roman"/>
        </w:rPr>
      </w:pPr>
      <w:r w:rsidRPr="00033412">
        <w:rPr>
          <w:rStyle w:val="FootnoteReference"/>
        </w:rPr>
        <w:footnoteRef/>
      </w:r>
      <w:r w:rsidRPr="00033412">
        <w:rPr>
          <w:rFonts w:ascii="Times New Roman" w:hAnsi="Times New Roman" w:cs="Times New Roman"/>
        </w:rPr>
        <w:t xml:space="preserve">P.A.F. Lamintang dan Theo Lamintang, Hukum Penitersier Indonesia, Jakarta : Sinar Grafika, 2010, hlm </w:t>
      </w:r>
      <w:r>
        <w:rPr>
          <w:rFonts w:ascii="Times New Roman" w:hAnsi="Times New Roman" w:cs="Times New Roman"/>
        </w:rPr>
        <w:t>159</w:t>
      </w:r>
    </w:p>
  </w:footnote>
  <w:footnote w:id="8">
    <w:p w:rsidR="00970694" w:rsidRDefault="00970694" w:rsidP="00970694">
      <w:pPr>
        <w:pStyle w:val="FootnoteText"/>
        <w:ind w:firstLine="567"/>
        <w:jc w:val="both"/>
      </w:pPr>
      <w:r>
        <w:rPr>
          <w:rStyle w:val="FootnoteReference"/>
        </w:rPr>
        <w:footnoteRef/>
      </w:r>
      <w:r>
        <w:rPr>
          <w:rFonts w:ascii="Times New Roman" w:hAnsi="Times New Roman" w:cs="Times New Roman"/>
          <w:i/>
        </w:rPr>
        <w:t>Ibid.</w:t>
      </w:r>
      <w:r>
        <w:t xml:space="preserve"> </w:t>
      </w:r>
    </w:p>
  </w:footnote>
  <w:footnote w:id="9">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i/>
        </w:rPr>
        <w:t>Ibid</w:t>
      </w:r>
      <w:r w:rsidRPr="00E255CD">
        <w:rPr>
          <w:rFonts w:ascii="Times New Roman" w:hAnsi="Times New Roman" w:cs="Times New Roman"/>
        </w:rPr>
        <w:t>, Halaman 38.</w:t>
      </w:r>
    </w:p>
  </w:footnote>
  <w:footnote w:id="10">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Agus Rusianto,  </w:t>
      </w:r>
      <w:r w:rsidRPr="00E255CD">
        <w:rPr>
          <w:rFonts w:ascii="Times New Roman" w:hAnsi="Times New Roman" w:cs="Times New Roman"/>
          <w:i/>
        </w:rPr>
        <w:t>Tindak Pidana Dan Pertanggungjawaban Pidana (Tinjauan Kritis Melalui Konsistensi Anata Asas, Teori, Dan Penerapannya,</w:t>
      </w:r>
      <w:r w:rsidRPr="00E255CD">
        <w:rPr>
          <w:rFonts w:ascii="Times New Roman" w:hAnsi="Times New Roman" w:cs="Times New Roman"/>
        </w:rPr>
        <w:t xml:space="preserve"> Pranamedia Group, Jakarta, 2016 Halaman 14.</w:t>
      </w:r>
    </w:p>
  </w:footnote>
  <w:footnote w:id="11">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Edi Setiadi dan Dian Andriasari.,</w:t>
      </w:r>
      <w:r w:rsidRPr="00E255CD">
        <w:rPr>
          <w:rFonts w:ascii="Times New Roman" w:hAnsi="Times New Roman" w:cs="Times New Roman"/>
          <w:i/>
        </w:rPr>
        <w:t>Op.,Cit</w:t>
      </w:r>
      <w:r w:rsidRPr="00E255CD">
        <w:rPr>
          <w:rFonts w:ascii="Times New Roman" w:hAnsi="Times New Roman" w:cs="Times New Roman"/>
        </w:rPr>
        <w:t>, Halaman 61.</w:t>
      </w:r>
    </w:p>
  </w:footnote>
  <w:footnote w:id="12">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Agus Rusianto. </w:t>
      </w:r>
      <w:r w:rsidRPr="00E255CD">
        <w:rPr>
          <w:rFonts w:ascii="Times New Roman" w:hAnsi="Times New Roman" w:cs="Times New Roman"/>
          <w:i/>
        </w:rPr>
        <w:t>Op.,Cit</w:t>
      </w:r>
      <w:r w:rsidRPr="00E255CD">
        <w:rPr>
          <w:rFonts w:ascii="Times New Roman" w:hAnsi="Times New Roman" w:cs="Times New Roman"/>
        </w:rPr>
        <w:t>, Halaman 16.</w:t>
      </w:r>
    </w:p>
  </w:footnote>
  <w:footnote w:id="13">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i/>
        </w:rPr>
        <w:t>Ibid,</w:t>
      </w:r>
      <w:r w:rsidRPr="00E255CD">
        <w:rPr>
          <w:rFonts w:ascii="Times New Roman" w:hAnsi="Times New Roman" w:cs="Times New Roman"/>
        </w:rPr>
        <w:t xml:space="preserve"> Halaman 16.</w:t>
      </w:r>
    </w:p>
  </w:footnote>
  <w:footnote w:id="14">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Syamsul Fatoni.,</w:t>
      </w:r>
      <w:r w:rsidRPr="00E255CD">
        <w:rPr>
          <w:rFonts w:ascii="Times New Roman" w:hAnsi="Times New Roman" w:cs="Times New Roman"/>
          <w:i/>
        </w:rPr>
        <w:t>Op.,Cit</w:t>
      </w:r>
      <w:r w:rsidRPr="00E255CD">
        <w:rPr>
          <w:rFonts w:ascii="Times New Roman" w:hAnsi="Times New Roman" w:cs="Times New Roman"/>
        </w:rPr>
        <w:t>, Halaman 40.</w:t>
      </w:r>
    </w:p>
  </w:footnote>
  <w:footnote w:id="15">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i/>
        </w:rPr>
        <w:t>Ibid</w:t>
      </w:r>
      <w:r w:rsidRPr="00E255CD">
        <w:rPr>
          <w:rFonts w:ascii="Times New Roman" w:hAnsi="Times New Roman" w:cs="Times New Roman"/>
        </w:rPr>
        <w:t>, Halaman 40.</w:t>
      </w:r>
    </w:p>
  </w:footnote>
  <w:footnote w:id="16">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Edi Setiadi dan Dian Andriasari.,</w:t>
      </w:r>
      <w:r w:rsidRPr="00E255CD">
        <w:rPr>
          <w:rFonts w:ascii="Times New Roman" w:hAnsi="Times New Roman" w:cs="Times New Roman"/>
          <w:i/>
        </w:rPr>
        <w:t>Op.,Cit,</w:t>
      </w:r>
      <w:r w:rsidRPr="00E255CD">
        <w:rPr>
          <w:rFonts w:ascii="Times New Roman" w:hAnsi="Times New Roman" w:cs="Times New Roman"/>
        </w:rPr>
        <w:t xml:space="preserve"> Halaman61.</w:t>
      </w:r>
    </w:p>
  </w:footnote>
  <w:footnote w:id="17">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i/>
        </w:rPr>
        <w:t>Ibid</w:t>
      </w:r>
      <w:r w:rsidRPr="00E255CD">
        <w:rPr>
          <w:rFonts w:ascii="Times New Roman" w:hAnsi="Times New Roman" w:cs="Times New Roman"/>
        </w:rPr>
        <w:t>, Halaman61.</w:t>
      </w:r>
    </w:p>
  </w:footnote>
  <w:footnote w:id="18">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Tjadra Sridjaja Pradjonggo. </w:t>
      </w:r>
      <w:r w:rsidRPr="00E255CD">
        <w:rPr>
          <w:rFonts w:ascii="Times New Roman" w:hAnsi="Times New Roman" w:cs="Times New Roman"/>
          <w:i/>
        </w:rPr>
        <w:t>Op.,Cit,</w:t>
      </w:r>
      <w:r w:rsidRPr="00E255CD">
        <w:rPr>
          <w:rFonts w:ascii="Times New Roman" w:hAnsi="Times New Roman" w:cs="Times New Roman"/>
        </w:rPr>
        <w:t xml:space="preserve"> Halaman38.</w:t>
      </w:r>
    </w:p>
  </w:footnote>
  <w:footnote w:id="19">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Edi Setiadi dan Dian Andriasari</w:t>
      </w:r>
      <w:r w:rsidRPr="00E255CD">
        <w:rPr>
          <w:rFonts w:ascii="Times New Roman" w:hAnsi="Times New Roman" w:cs="Times New Roman"/>
          <w:i/>
        </w:rPr>
        <w:t>.,Op.,Cit,</w:t>
      </w:r>
      <w:r w:rsidRPr="00E255CD">
        <w:rPr>
          <w:rFonts w:ascii="Times New Roman" w:hAnsi="Times New Roman" w:cs="Times New Roman"/>
        </w:rPr>
        <w:t xml:space="preserve"> Halaman61.</w:t>
      </w:r>
    </w:p>
  </w:footnote>
  <w:footnote w:id="20">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i/>
        </w:rPr>
        <w:t>Ibid,</w:t>
      </w:r>
      <w:r w:rsidRPr="00E255CD">
        <w:rPr>
          <w:rFonts w:ascii="Times New Roman" w:hAnsi="Times New Roman" w:cs="Times New Roman"/>
        </w:rPr>
        <w:t xml:space="preserve"> Halaman61.</w:t>
      </w:r>
    </w:p>
  </w:footnote>
  <w:footnote w:id="21">
    <w:p w:rsidR="00AE0CA6" w:rsidRPr="00E255CD" w:rsidRDefault="00AE0CA6" w:rsidP="00AE0CA6">
      <w:pPr>
        <w:spacing w:after="0" w:line="240" w:lineRule="auto"/>
        <w:ind w:firstLine="567"/>
        <w:rPr>
          <w:sz w:val="20"/>
          <w:szCs w:val="20"/>
        </w:rPr>
      </w:pPr>
      <w:r w:rsidRPr="00E255CD">
        <w:rPr>
          <w:rStyle w:val="FootnoteReference"/>
          <w:sz w:val="20"/>
          <w:szCs w:val="20"/>
        </w:rPr>
        <w:footnoteRef/>
      </w:r>
      <w:r w:rsidRPr="00E255CD">
        <w:rPr>
          <w:iCs/>
          <w:sz w:val="20"/>
          <w:szCs w:val="20"/>
        </w:rPr>
        <w:t>Moeljatno</w:t>
      </w:r>
      <w:r w:rsidRPr="00E255CD">
        <w:rPr>
          <w:i/>
          <w:iCs/>
          <w:sz w:val="20"/>
          <w:szCs w:val="20"/>
        </w:rPr>
        <w:t>,  Asas-Asas Hukum Pidana, Cetakan Kedua,</w:t>
      </w:r>
      <w:r w:rsidRPr="00E255CD">
        <w:rPr>
          <w:iCs/>
          <w:sz w:val="20"/>
          <w:szCs w:val="20"/>
        </w:rPr>
        <w:t xml:space="preserve"> Bina Aksara</w:t>
      </w:r>
      <w:r w:rsidRPr="00E255CD">
        <w:rPr>
          <w:i/>
          <w:iCs/>
          <w:sz w:val="20"/>
          <w:szCs w:val="20"/>
        </w:rPr>
        <w:t>,</w:t>
      </w:r>
      <w:r w:rsidRPr="00E255CD">
        <w:rPr>
          <w:iCs/>
          <w:sz w:val="20"/>
          <w:szCs w:val="20"/>
        </w:rPr>
        <w:t xml:space="preserve"> Jakarta, 1994,Halaman. 172.</w:t>
      </w:r>
    </w:p>
  </w:footnote>
  <w:footnote w:id="22">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Edi Setiadi dan Dian Andriasari.,</w:t>
      </w:r>
      <w:r w:rsidRPr="00E255CD">
        <w:rPr>
          <w:rFonts w:ascii="Times New Roman" w:hAnsi="Times New Roman" w:cs="Times New Roman"/>
          <w:i/>
        </w:rPr>
        <w:t>Op.,Cit,</w:t>
      </w:r>
      <w:r w:rsidRPr="00E255CD">
        <w:rPr>
          <w:rFonts w:ascii="Times New Roman" w:hAnsi="Times New Roman" w:cs="Times New Roman"/>
        </w:rPr>
        <w:t xml:space="preserve"> Halaman60.</w:t>
      </w:r>
    </w:p>
  </w:footnote>
  <w:footnote w:id="23">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i/>
        </w:rPr>
        <w:t>Ibid</w:t>
      </w:r>
      <w:r w:rsidRPr="00E255CD">
        <w:rPr>
          <w:rFonts w:ascii="Times New Roman" w:hAnsi="Times New Roman" w:cs="Times New Roman"/>
        </w:rPr>
        <w:t>, Halaman61.</w:t>
      </w:r>
    </w:p>
  </w:footnote>
  <w:footnote w:id="24">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P.A.F. Lamintang,  </w:t>
      </w:r>
      <w:r w:rsidRPr="00E255CD">
        <w:rPr>
          <w:rFonts w:ascii="Times New Roman" w:hAnsi="Times New Roman" w:cs="Times New Roman"/>
          <w:i/>
        </w:rPr>
        <w:t>Dasar-Dasar Hukum Pidana Indonesia,</w:t>
      </w:r>
      <w:r w:rsidRPr="00E255CD">
        <w:rPr>
          <w:rFonts w:ascii="Times New Roman" w:hAnsi="Times New Roman" w:cs="Times New Roman"/>
        </w:rPr>
        <w:t xml:space="preserve"> PT. Citra Aditya Bakti, Bandung, 1996, Halaman 182.</w:t>
      </w:r>
    </w:p>
  </w:footnote>
  <w:footnote w:id="25">
    <w:p w:rsidR="00AE0CA6" w:rsidRPr="00E255CD" w:rsidRDefault="00AE0CA6" w:rsidP="00AE0CA6">
      <w:pPr>
        <w:pStyle w:val="FootnoteText"/>
        <w:ind w:firstLine="567"/>
        <w:jc w:val="both"/>
        <w:rPr>
          <w:rFonts w:ascii="Times New Roman" w:hAnsi="Times New Roman" w:cs="Times New Roman"/>
        </w:rPr>
      </w:pPr>
      <w:r w:rsidRPr="00E255CD">
        <w:rPr>
          <w:rStyle w:val="FootnoteReference"/>
        </w:rPr>
        <w:footnoteRef/>
      </w:r>
      <w:r w:rsidRPr="00E255CD">
        <w:rPr>
          <w:rFonts w:ascii="Times New Roman" w:hAnsi="Times New Roman" w:cs="Times New Roman"/>
        </w:rPr>
        <w:t xml:space="preserve"> Edi Setiadi dan Dian Andriasari</w:t>
      </w:r>
      <w:r w:rsidRPr="00E255CD">
        <w:rPr>
          <w:rFonts w:ascii="Times New Roman" w:hAnsi="Times New Roman" w:cs="Times New Roman"/>
          <w:i/>
        </w:rPr>
        <w:t>.,Op.,Cit,</w:t>
      </w:r>
      <w:r w:rsidRPr="00E255CD">
        <w:rPr>
          <w:rFonts w:ascii="Times New Roman" w:hAnsi="Times New Roman" w:cs="Times New Roman"/>
        </w:rPr>
        <w:t xml:space="preserve"> Halaman61.</w:t>
      </w:r>
    </w:p>
  </w:footnote>
  <w:footnote w:id="26">
    <w:p w:rsidR="00AE0CA6" w:rsidRPr="009C43A1" w:rsidRDefault="00AE0CA6" w:rsidP="00AE0CA6">
      <w:pPr>
        <w:pStyle w:val="FootnoteText"/>
        <w:ind w:firstLine="567"/>
        <w:jc w:val="both"/>
        <w:rPr>
          <w:rFonts w:ascii="Times New Roman" w:hAnsi="Times New Roman" w:cs="Times New Roman"/>
        </w:rPr>
      </w:pPr>
      <w:r w:rsidRPr="009C43A1">
        <w:rPr>
          <w:rStyle w:val="FootnoteReference"/>
        </w:rPr>
        <w:footnoteRef/>
      </w:r>
      <w:r w:rsidRPr="009C43A1">
        <w:rPr>
          <w:rFonts w:ascii="Times New Roman" w:hAnsi="Times New Roman" w:cs="Times New Roman"/>
        </w:rPr>
        <w:t xml:space="preserve"> Ana Rahmatyar dan Joko Setiyono, “Pertanggungjawaban Pidana Anak Sebagai Pelaku Kejahatan Kesusilaan Terhadap Anak”, </w:t>
      </w:r>
      <w:r w:rsidRPr="00F35610">
        <w:rPr>
          <w:rFonts w:ascii="Times New Roman" w:hAnsi="Times New Roman" w:cs="Times New Roman"/>
          <w:i/>
        </w:rPr>
        <w:t>Jurnal Supremasi Hukum</w:t>
      </w:r>
      <w:r w:rsidRPr="009C43A1">
        <w:rPr>
          <w:rFonts w:ascii="Times New Roman" w:hAnsi="Times New Roman" w:cs="Times New Roman"/>
        </w:rPr>
        <w:t xml:space="preserve"> Vol. 29 No. 2 2020.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A77DBE">
    <w:pPr>
      <w:spacing w:after="22"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439420</wp:posOffset>
              </wp:positionH>
              <wp:positionV relativeFrom="page">
                <wp:posOffset>609600</wp:posOffset>
              </wp:positionV>
              <wp:extent cx="6685026" cy="5080"/>
              <wp:effectExtent l="0" t="0" r="0" b="0"/>
              <wp:wrapSquare wrapText="bothSides"/>
              <wp:docPr id="21508" name="Group 21508"/>
              <wp:cNvGraphicFramePr/>
              <a:graphic xmlns:a="http://schemas.openxmlformats.org/drawingml/2006/main">
                <a:graphicData uri="http://schemas.microsoft.com/office/word/2010/wordprocessingGroup">
                  <wpg:wgp>
                    <wpg:cNvGrpSpPr/>
                    <wpg:grpSpPr>
                      <a:xfrm>
                        <a:off x="0" y="0"/>
                        <a:ext cx="6685026" cy="5080"/>
                        <a:chOff x="0" y="0"/>
                        <a:chExt cx="6685026" cy="5080"/>
                      </a:xfrm>
                    </wpg:grpSpPr>
                    <wps:wsp>
                      <wps:cNvPr id="21716" name="Shape 21716"/>
                      <wps:cNvSpPr/>
                      <wps:spPr>
                        <a:xfrm>
                          <a:off x="0" y="0"/>
                          <a:ext cx="6685026" cy="9144"/>
                        </a:xfrm>
                        <a:custGeom>
                          <a:avLst/>
                          <a:gdLst/>
                          <a:ahLst/>
                          <a:cxnLst/>
                          <a:rect l="0" t="0" r="0" b="0"/>
                          <a:pathLst>
                            <a:path w="6685026" h="9144">
                              <a:moveTo>
                                <a:pt x="0" y="0"/>
                              </a:moveTo>
                              <a:lnTo>
                                <a:pt x="6685026" y="0"/>
                              </a:lnTo>
                              <a:lnTo>
                                <a:pt x="66850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1508" style="width:526.38pt;height:0.400024pt;position:absolute;mso-position-horizontal-relative:page;mso-position-horizontal:absolute;margin-left:34.6pt;mso-position-vertical-relative:page;margin-top:48pt;" coordsize="66850,50">
              <v:shape id="Shape 21717" style="position:absolute;width:66850;height:91;left:0;top:0;" coordsize="6685026,9144" path="m0,0l6685026,0l6685026,9144l0,9144l0,0">
                <v:stroke weight="0pt" endcap="flat" joinstyle="miter" miterlimit="10" on="false" color="#000000" opacity="0"/>
                <v:fill on="true" color="#000000"/>
              </v:shape>
              <w10:wrap type="square"/>
            </v:group>
          </w:pict>
        </mc:Fallback>
      </mc:AlternateContent>
    </w:r>
    <w:r>
      <w:rPr>
        <w:b/>
        <w:sz w:val="20"/>
      </w:rPr>
      <w:t>Roni Sulistyanto Luhukay</w:t>
    </w:r>
    <w:r>
      <w:rPr>
        <w:i/>
        <w:sz w:val="20"/>
      </w:rPr>
      <w:t xml:space="preserve">, Refleksi Atas Pemisahan Pemilu Nasional dan Pemilu Local </w:t>
    </w:r>
  </w:p>
  <w:p w:rsidR="00F802FE" w:rsidRDefault="00A77DBE">
    <w:pPr>
      <w:spacing w:after="0" w:line="259" w:lineRule="auto"/>
      <w:ind w:left="16" w:right="0" w:firstLine="0"/>
      <w:jc w:val="left"/>
    </w:pPr>
    <w:r>
      <w:rPr>
        <w:rFonts w:ascii="Calibri" w:eastAsia="Calibri" w:hAnsi="Calibri" w:cs="Calibri"/>
        <w:i/>
        <w:sz w:val="20"/>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0" w:line="259" w:lineRule="auto"/>
      <w:ind w:left="16"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2FE" w:rsidRDefault="00F802FE">
    <w:pPr>
      <w:spacing w:after="160" w:line="259" w:lineRule="auto"/>
      <w:ind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08CA"/>
    <w:multiLevelType w:val="hybridMultilevel"/>
    <w:tmpl w:val="9A621484"/>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8031B83"/>
    <w:multiLevelType w:val="hybridMultilevel"/>
    <w:tmpl w:val="3758BAC6"/>
    <w:lvl w:ilvl="0" w:tplc="C930DB4E">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345F0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E074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DA85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30861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10040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E2B2B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D87DC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664C5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73E602F"/>
    <w:multiLevelType w:val="hybridMultilevel"/>
    <w:tmpl w:val="A3F8003E"/>
    <w:lvl w:ilvl="0" w:tplc="5B181FB0">
      <w:start w:val="1"/>
      <w:numFmt w:val="decimal"/>
      <w:lvlText w:val="%1."/>
      <w:lvlJc w:val="left"/>
      <w:pPr>
        <w:tabs>
          <w:tab w:val="num" w:pos="720"/>
        </w:tabs>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D19E0"/>
    <w:multiLevelType w:val="hybridMultilevel"/>
    <w:tmpl w:val="DB4C7150"/>
    <w:lvl w:ilvl="0" w:tplc="6F1605AA">
      <w:start w:val="1"/>
      <w:numFmt w:val="decimal"/>
      <w:lvlText w:val="%1)"/>
      <w:lvlJc w:val="left"/>
      <w:pPr>
        <w:ind w:left="3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CAB26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0FE4BD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CAFB0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098753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CCCDDA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BC1CF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2039A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561E3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C6735BD"/>
    <w:multiLevelType w:val="hybridMultilevel"/>
    <w:tmpl w:val="4D88E394"/>
    <w:lvl w:ilvl="0" w:tplc="62F4A73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1A2C0F"/>
    <w:multiLevelType w:val="hybridMultilevel"/>
    <w:tmpl w:val="05281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35575E"/>
    <w:multiLevelType w:val="hybridMultilevel"/>
    <w:tmpl w:val="C1345E82"/>
    <w:lvl w:ilvl="0" w:tplc="36909E34">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BCE552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9034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B8DA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A09B3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C286C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54FC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76AB2A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36D51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664FE9"/>
    <w:multiLevelType w:val="hybridMultilevel"/>
    <w:tmpl w:val="C882C7B2"/>
    <w:lvl w:ilvl="0" w:tplc="AEBE2476">
      <w:start w:val="1"/>
      <w:numFmt w:val="lowerLetter"/>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77C3CE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78F7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38970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907F8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6CCEB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481A3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04AA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DA86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EC7871"/>
    <w:multiLevelType w:val="hybridMultilevel"/>
    <w:tmpl w:val="C28C13FC"/>
    <w:lvl w:ilvl="0" w:tplc="0D1E7268">
      <w:start w:val="1"/>
      <w:numFmt w:val="lowerLetter"/>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686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C7294B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3207B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AA9EA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844D4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26279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D24B8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6CED44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D04C6A"/>
    <w:multiLevelType w:val="hybridMultilevel"/>
    <w:tmpl w:val="C3BC93EE"/>
    <w:lvl w:ilvl="0" w:tplc="C888C34C">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51573E23"/>
    <w:multiLevelType w:val="hybridMultilevel"/>
    <w:tmpl w:val="C6E6079E"/>
    <w:lvl w:ilvl="0" w:tplc="04210019">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51EC2259"/>
    <w:multiLevelType w:val="hybridMultilevel"/>
    <w:tmpl w:val="CFFA22A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58B02847"/>
    <w:multiLevelType w:val="hybridMultilevel"/>
    <w:tmpl w:val="BD2843A0"/>
    <w:lvl w:ilvl="0" w:tplc="5B181FB0">
      <w:start w:val="1"/>
      <w:numFmt w:val="decimal"/>
      <w:lvlText w:val="%1."/>
      <w:lvlJc w:val="left"/>
      <w:pPr>
        <w:tabs>
          <w:tab w:val="num" w:pos="720"/>
        </w:tabs>
        <w:ind w:left="720" w:hanging="360"/>
      </w:pPr>
      <w:rPr>
        <w:rFonts w:hint="default"/>
      </w:rPr>
    </w:lvl>
    <w:lvl w:ilvl="1" w:tplc="0421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0F">
      <w:start w:val="1"/>
      <w:numFmt w:val="decimal"/>
      <w:lvlText w:val="%6."/>
      <w:lvlJc w:val="lef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047457"/>
    <w:multiLevelType w:val="hybridMultilevel"/>
    <w:tmpl w:val="F3103132"/>
    <w:lvl w:ilvl="0" w:tplc="C07A9BDC">
      <w:start w:val="1"/>
      <w:numFmt w:val="decimal"/>
      <w:lvlText w:val="%1."/>
      <w:lvlJc w:val="left"/>
      <w:pPr>
        <w:ind w:left="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93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14A3B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3846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5EA77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E207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84545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05AA1C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EEF3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
  </w:num>
  <w:num w:numId="3">
    <w:abstractNumId w:val="7"/>
  </w:num>
  <w:num w:numId="4">
    <w:abstractNumId w:val="3"/>
  </w:num>
  <w:num w:numId="5">
    <w:abstractNumId w:val="13"/>
  </w:num>
  <w:num w:numId="6">
    <w:abstractNumId w:val="6"/>
  </w:num>
  <w:num w:numId="7">
    <w:abstractNumId w:val="11"/>
  </w:num>
  <w:num w:numId="8">
    <w:abstractNumId w:val="9"/>
  </w:num>
  <w:num w:numId="9">
    <w:abstractNumId w:val="0"/>
  </w:num>
  <w:num w:numId="10">
    <w:abstractNumId w:val="10"/>
  </w:num>
  <w:num w:numId="11">
    <w:abstractNumId w:val="2"/>
  </w:num>
  <w:num w:numId="12">
    <w:abstractNumId w:val="12"/>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2FE"/>
    <w:rsid w:val="003957F9"/>
    <w:rsid w:val="0040756D"/>
    <w:rsid w:val="00596ED9"/>
    <w:rsid w:val="006040C6"/>
    <w:rsid w:val="00970694"/>
    <w:rsid w:val="00A77DBE"/>
    <w:rsid w:val="00AB7545"/>
    <w:rsid w:val="00AE0CA6"/>
    <w:rsid w:val="00F47738"/>
    <w:rsid w:val="00F802FE"/>
    <w:rsid w:val="00FD1C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81082"/>
  <w15:docId w15:val="{216283D6-4028-4F8A-A193-D64ACDED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right="69" w:firstLine="559"/>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right="45"/>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pPr>
      <w:keepNext/>
      <w:keepLines/>
      <w:spacing w:after="4" w:line="265" w:lineRule="auto"/>
      <w:ind w:left="26"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 w:type="paragraph" w:customStyle="1" w:styleId="footnotedescription">
    <w:name w:val="footnote description"/>
    <w:next w:val="Normal"/>
    <w:link w:val="footnotedescriptionChar"/>
    <w:hidden/>
    <w:pPr>
      <w:spacing w:after="0"/>
      <w:ind w:left="1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AE0CA6"/>
    <w:pPr>
      <w:ind w:left="720"/>
      <w:contextualSpacing/>
    </w:pPr>
  </w:style>
  <w:style w:type="paragraph" w:styleId="FootnoteText">
    <w:name w:val="footnote text"/>
    <w:aliases w:val="Char1 Char Char Char Char Char Char Char Char Char Char Char Char Char Char,Char Char Char Char,Char Char Char,Char Char Char Char Char Char,Char Char Char Ch,Char Char,Char Char1,Footnote Text1 Char"/>
    <w:basedOn w:val="Normal"/>
    <w:link w:val="FootnoteTextChar"/>
    <w:uiPriority w:val="99"/>
    <w:unhideWhenUsed/>
    <w:rsid w:val="00AE0CA6"/>
    <w:pPr>
      <w:spacing w:after="0" w:line="240" w:lineRule="auto"/>
      <w:ind w:right="0" w:firstLine="0"/>
      <w:jc w:val="left"/>
    </w:pPr>
    <w:rPr>
      <w:rFonts w:asciiTheme="minorHAnsi" w:eastAsiaTheme="minorEastAsia" w:hAnsiTheme="minorHAnsi" w:cstheme="minorBidi"/>
      <w:color w:val="auto"/>
      <w:sz w:val="20"/>
      <w:szCs w:val="20"/>
      <w:lang w:val="en-US" w:eastAsia="en-US"/>
    </w:rPr>
  </w:style>
  <w:style w:type="character" w:customStyle="1" w:styleId="FootnoteTextChar">
    <w:name w:val="Footnote Text Char"/>
    <w:aliases w:val="Char1 Char Char Char Char Char Char Char Char Char Char Char Char Char Char Char,Char Char Char Char Char,Char Char Char Char1,Char Char Char Char Char Char Char,Char Char Char Ch Char,Char Char Char1,Char Char1 Char"/>
    <w:basedOn w:val="DefaultParagraphFont"/>
    <w:link w:val="FootnoteText"/>
    <w:uiPriority w:val="99"/>
    <w:rsid w:val="00AE0CA6"/>
    <w:rPr>
      <w:sz w:val="20"/>
      <w:szCs w:val="20"/>
      <w:lang w:val="en-US" w:eastAsia="en-US"/>
    </w:rPr>
  </w:style>
  <w:style w:type="character" w:styleId="FootnoteReference">
    <w:name w:val="footnote reference"/>
    <w:basedOn w:val="DefaultParagraphFont"/>
    <w:uiPriority w:val="99"/>
    <w:unhideWhenUsed/>
    <w:rsid w:val="00AE0CA6"/>
    <w:rPr>
      <w:vertAlign w:val="superscript"/>
    </w:rPr>
  </w:style>
  <w:style w:type="paragraph" w:styleId="NormalWeb">
    <w:name w:val="Normal (Web)"/>
    <w:basedOn w:val="Normal"/>
    <w:uiPriority w:val="99"/>
    <w:semiHidden/>
    <w:unhideWhenUsed/>
    <w:rsid w:val="00AE0CA6"/>
    <w:pPr>
      <w:spacing w:before="100" w:beforeAutospacing="1" w:after="100" w:afterAutospacing="1" w:line="240" w:lineRule="auto"/>
      <w:ind w:right="0" w:firstLine="0"/>
      <w:jc w:val="left"/>
    </w:pPr>
    <w:rPr>
      <w:color w:val="auto"/>
      <w:sz w:val="24"/>
      <w:szCs w:val="24"/>
      <w:lang w:val="en-US" w:eastAsia="en-US"/>
    </w:rPr>
  </w:style>
  <w:style w:type="character" w:styleId="Emphasis">
    <w:name w:val="Emphasis"/>
    <w:basedOn w:val="DefaultParagraphFont"/>
    <w:uiPriority w:val="20"/>
    <w:qFormat/>
    <w:rsid w:val="00AE0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496407">
      <w:bodyDiv w:val="1"/>
      <w:marLeft w:val="0"/>
      <w:marRight w:val="0"/>
      <w:marTop w:val="0"/>
      <w:marBottom w:val="0"/>
      <w:divBdr>
        <w:top w:val="none" w:sz="0" w:space="0" w:color="auto"/>
        <w:left w:val="none" w:sz="0" w:space="0" w:color="auto"/>
        <w:bottom w:val="none" w:sz="0" w:space="0" w:color="auto"/>
        <w:right w:val="none" w:sz="0" w:space="0" w:color="auto"/>
      </w:divBdr>
    </w:div>
    <w:div w:id="162033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7030</Words>
  <Characters>40077</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HP</cp:lastModifiedBy>
  <cp:revision>5</cp:revision>
  <dcterms:created xsi:type="dcterms:W3CDTF">2021-12-08T05:37:00Z</dcterms:created>
  <dcterms:modified xsi:type="dcterms:W3CDTF">2021-12-09T00:35:00Z</dcterms:modified>
</cp:coreProperties>
</file>